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EDDBD">
      <w:pPr>
        <w:spacing w:before="1467" w:beforeLines="450" w:line="240" w:lineRule="auto"/>
        <w:jc w:val="center"/>
        <w:rPr>
          <w:rFonts w:cs="Times New Roman" w:eastAsiaTheme="minorEastAsia"/>
          <w:b/>
          <w:sz w:val="36"/>
          <w:szCs w:val="36"/>
        </w:rPr>
      </w:pPr>
      <w:bookmarkStart w:id="0" w:name="OLE_LINK144"/>
      <w:bookmarkStart w:id="1" w:name="_Toc202552611"/>
      <w:r>
        <w:rPr>
          <w:b/>
          <w:bCs w:val="0"/>
          <w:sz w:val="36"/>
          <w:szCs w:val="36"/>
        </w:rPr>
        <w:t>TYPHOON DISASTERS AND MACROECONOMIC PERFORMANCE IN ASIAN ECONOMIES: THE MEDIATING ROLE OF CAPITAL FORMATION</w:t>
      </w:r>
      <w:bookmarkEnd w:id="0"/>
    </w:p>
    <w:p w14:paraId="34AD83A9">
      <w:pPr>
        <w:spacing w:before="3260" w:beforeLines="1000" w:after="3260" w:afterLines="1000"/>
        <w:jc w:val="center"/>
        <w:rPr>
          <w:rFonts w:cs="Times New Roman" w:eastAsiaTheme="minorEastAsia"/>
          <w:b/>
          <w:bCs w:val="0"/>
          <w:sz w:val="36"/>
          <w:szCs w:val="36"/>
        </w:rPr>
      </w:pPr>
      <w:r>
        <w:rPr>
          <w:rFonts w:cs="Times New Roman" w:eastAsiaTheme="minorEastAsia"/>
          <w:b/>
          <w:bCs w:val="0"/>
          <w:sz w:val="36"/>
          <w:szCs w:val="36"/>
        </w:rPr>
        <w:t>CHEN HAOWEI</w:t>
      </w:r>
    </w:p>
    <w:p w14:paraId="2A0D5EF1">
      <w:pPr>
        <w:spacing w:before="489" w:after="489" w:line="276" w:lineRule="auto"/>
        <w:jc w:val="center"/>
        <w:rPr>
          <w:rFonts w:hint="eastAsia" w:cs="Times New Roman" w:eastAsiaTheme="minorEastAsia"/>
          <w:b/>
          <w:bCs w:val="0"/>
          <w:sz w:val="32"/>
          <w:szCs w:val="32"/>
          <w:lang w:val="en-US" w:eastAsia="zh-CN"/>
        </w:rPr>
      </w:pPr>
    </w:p>
    <w:p w14:paraId="5DFFFB5F">
      <w:pPr>
        <w:spacing w:before="489" w:after="489" w:line="276" w:lineRule="auto"/>
        <w:rPr>
          <w:rFonts w:cs="Times New Roman" w:eastAsiaTheme="minorEastAsia"/>
        </w:rPr>
      </w:pPr>
    </w:p>
    <w:p w14:paraId="5FAC37A1">
      <w:pPr>
        <w:pStyle w:val="5"/>
        <w:spacing w:before="489" w:beforeLines="150" w:after="489"/>
        <w:jc w:val="center"/>
        <w:rPr>
          <w:rFonts w:eastAsiaTheme="minorEastAsia"/>
          <w:sz w:val="24"/>
          <w:szCs w:val="24"/>
        </w:rPr>
      </w:pPr>
      <w:bookmarkStart w:id="2" w:name="_Toc216969470"/>
      <w:r>
        <w:rPr>
          <w:sz w:val="24"/>
          <w:szCs w:val="24"/>
        </w:rPr>
        <w:t>ABSTRACT</w:t>
      </w:r>
      <w:bookmarkEnd w:id="2"/>
    </w:p>
    <w:p w14:paraId="6CDF05A9">
      <w:pPr>
        <w:spacing w:after="489"/>
      </w:pPr>
      <w:r>
        <w:t>This paper examines how typhoon shocks affect macroeconomic performance and the channels through which these effects are transmitted. The study constructs an agricultural exposure–adjusted typhoon intensity index (TEI_agri) and compiles a country-year panel for 13 Asian economies from 2000 to 2024. Using fixed-effects regressions, the analysis estimates associations between typhoon intensity and key outcomes, including GDP growth, inflation, agricultural output growth, foreign direct investment (FDI) inflows, and unemployment, and evaluates whether gross capital formation (GCF) mediates these relationships. The results suggest that greater typhoon intensity is linked to higher inflation and weaker capital formation, while GDP and agricultural growth exhibit short-run rebound patterns consistent with post-disaster reconstruction dynamics. By contrast, effects on unemployment and FDI inflows are not consistently robust, indicating that these outcomes may depend on country-specific labor market conditions, investment climates, and policy responses. Additional evidence shows that typhoon intensity is associated with declines in GCF, and changes in capital formation help explain several macroeconomic responses after shocks, highlighting investment and capital accumulation as key mechanisms connecting disasters to aggregate fluctuations. These findings underscore the policy relevance of strengthening disaster preparedness and resilience, protecting productive capacity, and stabilizing post-disaster investment and financing conditions to reduce the longer-run macroeconomic costs of typhoon shocks in highly exposed Asian economies.</w:t>
      </w:r>
    </w:p>
    <w:p w14:paraId="42E90CFF">
      <w:pPr>
        <w:spacing w:after="489"/>
        <w:rPr>
          <w:rFonts w:cs="Times New Roman"/>
        </w:rPr>
      </w:pPr>
      <w:r>
        <w:rPr>
          <w:rFonts w:cs="Times New Roman"/>
          <w:b/>
        </w:rPr>
        <w:t>Keywords:</w:t>
      </w:r>
      <w:r>
        <w:rPr>
          <w:rFonts w:cs="Times New Roman"/>
        </w:rPr>
        <w:br w:type="textWrapping"/>
      </w:r>
      <w:r>
        <w:rPr>
          <w:rFonts w:cs="Times New Roman"/>
        </w:rPr>
        <w:t xml:space="preserve">Typhoon disaster; Exposure-adjusted intensity; Macroeconomic impacts; Gross capital formation; Capital accumulation </w:t>
      </w:r>
    </w:p>
    <w:p w14:paraId="37FC0ED2">
      <w:pPr>
        <w:pStyle w:val="59"/>
        <w:numPr>
          <w:ilvl w:val="0"/>
          <w:numId w:val="0"/>
        </w:numPr>
        <w:spacing w:after="468"/>
        <w:jc w:val="center"/>
      </w:pPr>
      <w:bookmarkStart w:id="3" w:name="_Toc212728525"/>
      <w:bookmarkStart w:id="4" w:name="_Toc26110"/>
      <w:bookmarkStart w:id="5" w:name="_Toc216969476"/>
      <w:r>
        <w:rPr>
          <w:lang w:bidi="ar"/>
        </w:rPr>
        <w:t>IN</w:t>
      </w:r>
      <w:r>
        <w:t>TRODUC</w:t>
      </w:r>
      <w:r>
        <w:rPr>
          <w:lang w:bidi="ar"/>
        </w:rPr>
        <w:t>TION</w:t>
      </w:r>
      <w:bookmarkEnd w:id="1"/>
      <w:bookmarkEnd w:id="3"/>
      <w:bookmarkEnd w:id="4"/>
      <w:bookmarkEnd w:id="5"/>
    </w:p>
    <w:p w14:paraId="5BD16BCC">
      <w:pPr>
        <w:pStyle w:val="3"/>
        <w:numPr>
          <w:ilvl w:val="1"/>
          <w:numId w:val="0"/>
        </w:numPr>
        <w:ind w:leftChars="0"/>
      </w:pPr>
      <w:bookmarkStart w:id="6" w:name="_Toc199198778"/>
      <w:bookmarkStart w:id="7" w:name="_Toc212728526"/>
      <w:bookmarkStart w:id="8" w:name="_Toc199338618"/>
      <w:bookmarkStart w:id="9" w:name="_Toc199293203"/>
      <w:bookmarkStart w:id="10" w:name="_Toc202552612"/>
      <w:bookmarkStart w:id="11" w:name="_Toc216969477"/>
      <w:bookmarkStart w:id="12" w:name="_Toc14034"/>
      <w:r>
        <w:t>Introduction</w:t>
      </w:r>
      <w:bookmarkEnd w:id="6"/>
      <w:bookmarkEnd w:id="7"/>
      <w:bookmarkEnd w:id="8"/>
      <w:bookmarkEnd w:id="9"/>
      <w:bookmarkEnd w:id="10"/>
      <w:bookmarkEnd w:id="11"/>
      <w:bookmarkEnd w:id="12"/>
    </w:p>
    <w:p w14:paraId="2C747112">
      <w:pPr>
        <w:pStyle w:val="22"/>
        <w:keepNext w:val="0"/>
        <w:keepLines w:val="0"/>
        <w:widowControl/>
        <w:suppressLineNumbers w:val="0"/>
        <w:spacing w:beforeAutospacing="1" w:afterAutospacing="1"/>
        <w:ind w:left="0" w:firstLine="0"/>
        <w:rPr>
          <w:i w:val="0"/>
          <w:iCs w:val="0"/>
          <w:caps w:val="0"/>
          <w:color w:val="000000"/>
          <w:spacing w:val="0"/>
          <w:u w:val="none"/>
        </w:rPr>
      </w:pPr>
      <w:bookmarkStart w:id="13" w:name="_Toc216868581"/>
      <w:r>
        <w:t>Climate change has intensified the frequency and severity of extreme weather events, and severe weather represented by tropical cyclones (e.g., typhoons) has generated profound social and economic impacts on coastal countries (Hsiang &amp; Jina, 2014). In Southeast Asia and the broader Asia–Pacific, typhoons are both frequent and highly destructive, causing casualties and large economic losses through infrastructure damage, agricultural production disruption, and interruptions to capital flows (Strobl, 2011; Kunze, 2021). A growing body of disaster economics literature finds that natural disasters significantly depress macroeconomic outcomes such as economic growth, investment, and trade (Felbermayr &amp; Gröschl, 2014; Klomp &amp; Valckx, 2014; Cantelmo et al., 2023). However, many empirical studies still treat disasters as binary events—"occurred" versus "did not occur"—thereby overlooking meaningful differences in disaster intensity and limiting understanding of transmission mechanisms (Fomby et al., 2013; Klomp &amp; Valckx, 2014).</w:t>
      </w:r>
    </w:p>
    <w:p w14:paraId="131654EF">
      <w:pPr>
        <w:pStyle w:val="22"/>
        <w:keepNext w:val="0"/>
        <w:keepLines w:val="0"/>
        <w:widowControl/>
        <w:suppressLineNumbers w:val="0"/>
        <w:spacing w:beforeAutospacing="1" w:afterAutospacing="1"/>
        <w:ind w:left="0" w:firstLine="0"/>
        <w:rPr>
          <w:i w:val="0"/>
          <w:iCs w:val="0"/>
          <w:caps w:val="0"/>
          <w:color w:val="000000"/>
          <w:spacing w:val="0"/>
          <w:u w:val="none"/>
        </w:rPr>
      </w:pPr>
      <w:r>
        <w:t>Asia is among the world’s most disaster-prone regions. Over 70% of global tropical cyclones occur annually in the Asia–Pacific region (Guo et al., 2024). The World Meteorological Organization reports that tropical cyclone frequency has risen by about 25% worldwide over the past 20 years (WMO, 2023), while the World Bank estimates that typhoons, floods, and storm surges cause around US$21 billion in annual damages in ASEAN economies—roughly 0.8% of regional GDP (World Bank, 2022; Zhou et al., 2025). Typhoons generate complex economic effects: in the short run they destroy infrastructure, disrupt transport and supply chains, reduce agricultural productivity, and raise inflationary pressures (World Bank, 2022; Zheng et al., 2025). In the longer run, they can shrink fiscal space, weaken investor confidence, and hinder productive capital accumulation, reducing gross capital formation (GCF), which is critical for recovery and long-term growth (Arias et al., 2024; Hu et al., 2024; Raj et al., n.d.; Hallegatte et al., 2024). Empirical evidence suggests more severe disasters are harder to fully offset, leading to persistent output losses (Cavallo et al., 2013; Hsiang &amp; Jina, 2014; Felbermayr &amp; Gröschl, 2014). Recent studies further note that warming may shift typhoon formation zones poleward, exposing dense coastal populations to higher risk (Garner et al., 2024), while large-scale disasters can cause incomplete recovery and contemporaneous GDP growth losses (Nguyen et al., 2025). Financial fragility may also rise through higher credit defaults and erosion of bank capital buffers, amplifying macroeconomic instability (Li et al., 2024). Looking ahead, the IMF projects disaster losses will increase for nearly two-thirds of Asian economies by 2050 (Arias et al., 2024), and climate-driven threats such as altered rainfall and sea-level rise may substantially reduce arable land in vulnerable deltas (Hai et al., 2024).</w:t>
      </w:r>
    </w:p>
    <w:p w14:paraId="1FB4DBFA">
      <w:pPr>
        <w:pStyle w:val="22"/>
        <w:keepNext w:val="0"/>
        <w:keepLines w:val="0"/>
        <w:widowControl/>
        <w:suppressLineNumbers w:val="0"/>
        <w:spacing w:beforeAutospacing="1" w:afterAutospacing="1"/>
        <w:ind w:left="0" w:firstLine="0"/>
        <w:rPr>
          <w:i w:val="0"/>
          <w:iCs w:val="0"/>
          <w:caps w:val="0"/>
          <w:color w:val="000000"/>
          <w:spacing w:val="0"/>
          <w:u w:val="none"/>
        </w:rPr>
      </w:pPr>
      <w:r>
        <w:t>Within this context, agriculture is particularly pivotal in many Asian economies: although agriculture’s GDP share may decline with structural transformation, agricultural employment remains high and rural populations often concentrate low-income and vulnerable groups. At the same time, agricultural production is highly climate-sensitive and disproportionately exposed to typhoon-related hazards (heavy rainfall, flooding, storm surges), which can damage farmland and crops, disrupt logistics and procurement, reduce output and incomes, and push up food prices and inflation (Kunze, 2021). Because capital formation remains central to agricultural productivity and structural upgrading, disaster-induced damage to agricultural assets may also weaken longer-run production capacity and recovery prospects (Ongo &amp; Vukenkeng, 2014; Obe et al., 2024). Despite evidence that disasters affect agricultural output and rural economies, fewer studies systematically connect agriculture-focused disaster exposure to broader macroeconomic performance using an intensity-based approach.</w:t>
      </w:r>
    </w:p>
    <w:p w14:paraId="2F58772A">
      <w:pPr>
        <w:pStyle w:val="22"/>
        <w:keepNext w:val="0"/>
        <w:keepLines w:val="0"/>
        <w:widowControl/>
        <w:suppressLineNumbers w:val="0"/>
        <w:spacing w:beforeAutospacing="1" w:afterAutospacing="1"/>
        <w:ind w:left="0" w:firstLine="0"/>
      </w:pPr>
      <w:r>
        <w:rPr>
          <w:i w:val="0"/>
          <w:iCs w:val="0"/>
          <w:caps w:val="0"/>
          <w:color w:val="000000"/>
          <w:spacing w:val="0"/>
          <w:u w:val="none"/>
        </w:rPr>
        <w:t>To address these gaps, this study constructs an agricultural exposure-adjusted Typhoon intensity index (TEI_agri), integrating typhoons’ physical intensity with the agricultural sector’s economic exposure to provide a more economically meaningful measure of disaster shocks. Using panel data from 13 Asian countries spanning 2000–2024, the study estimates the impacts of major typhoon disasters on GDP growth, inflation, agricultural growth, FDI inflows, and unemployment. To examine transmission channels, gross capital formation (GCF) is incorporated as a mediating variable, while trade openness, population growth, and urbanization serve as controls. By explicitly incorporating disaster intensity and sectoral exposure, this paper contributes to regional disaster economics research and offers empirical implications for disaster risk management, infrastructure investment, and post-disaster macroeconomic policy in Asia.</w:t>
      </w:r>
      <w:bookmarkEnd w:id="13"/>
    </w:p>
    <w:p w14:paraId="466914B3">
      <w:pPr>
        <w:pStyle w:val="7"/>
        <w:keepNext w:val="0"/>
        <w:keepLines w:val="0"/>
        <w:pageBreakBefore w:val="0"/>
        <w:widowControl/>
        <w:suppressLineNumbers w:val="0"/>
        <w:kinsoku/>
        <w:wordWrap/>
        <w:overflowPunct/>
        <w:topLinePunct w:val="0"/>
        <w:autoSpaceDE/>
        <w:autoSpaceDN/>
        <w:bidi w:val="0"/>
        <w:adjustRightInd/>
        <w:snapToGrid/>
        <w:spacing w:beforeAutospacing="1" w:afterAutospacing="1"/>
        <w:ind w:left="0" w:firstLine="0"/>
        <w:textAlignment w:val="auto"/>
        <w:rPr>
          <w:rFonts w:hint="default" w:ascii="Times New Roman Italic" w:hAnsi="Times New Roman Italic" w:eastAsia="宋体" w:cs="Times New Roman Italic"/>
          <w:i/>
          <w:iCs/>
          <w:lang w:eastAsia="zh-CN"/>
        </w:rPr>
      </w:pPr>
      <w:r>
        <w:rPr>
          <w:rFonts w:hint="default" w:ascii="Times New Roman Italic" w:hAnsi="Times New Roman Italic" w:cs="Times New Roman Italic"/>
          <w:i/>
          <w:iCs/>
        </w:rPr>
        <w:t xml:space="preserve">Figure </w:t>
      </w:r>
      <w:r>
        <w:rPr>
          <w:rFonts w:hint="default" w:ascii="Times New Roman Italic" w:hAnsi="Times New Roman Italic" w:cs="Times New Roman Italic"/>
          <w:i/>
          <w:iCs/>
        </w:rPr>
        <w:fldChar w:fldCharType="begin"/>
      </w:r>
      <w:r>
        <w:rPr>
          <w:rFonts w:hint="default" w:ascii="Times New Roman Italic" w:hAnsi="Times New Roman Italic" w:cs="Times New Roman Italic"/>
          <w:i/>
          <w:iCs/>
        </w:rPr>
        <w:instrText xml:space="preserve"> SEQ Figure \* ARABIC </w:instrText>
      </w:r>
      <w:r>
        <w:rPr>
          <w:rFonts w:hint="default" w:ascii="Times New Roman Italic" w:hAnsi="Times New Roman Italic" w:cs="Times New Roman Italic"/>
          <w:i/>
          <w:iCs/>
        </w:rPr>
        <w:fldChar w:fldCharType="separate"/>
      </w:r>
      <w:r>
        <w:rPr>
          <w:rFonts w:hint="default" w:ascii="Times New Roman Italic" w:hAnsi="Times New Roman Italic" w:cs="Times New Roman Italic"/>
          <w:i/>
          <w:iCs/>
        </w:rPr>
        <w:t>1</w:t>
      </w:r>
      <w:r>
        <w:rPr>
          <w:rFonts w:hint="default" w:ascii="Times New Roman Italic" w:hAnsi="Times New Roman Italic" w:cs="Times New Roman Italic"/>
          <w:i/>
          <w:iCs/>
        </w:rPr>
        <w:fldChar w:fldCharType="end"/>
      </w:r>
      <w:r>
        <w:rPr>
          <w:rFonts w:hint="default" w:ascii="Times New Roman Italic" w:hAnsi="Times New Roman Italic" w:eastAsia="宋体" w:cs="Times New Roman Italic"/>
          <w:i/>
          <w:iCs/>
          <w:lang w:eastAsia="zh-CN"/>
        </w:rPr>
        <w:t xml:space="preserve"> Geographical Distribution of Typhoon Activity Across Asian Economies and Beyond</w:t>
      </w:r>
    </w:p>
    <w:p w14:paraId="04622962">
      <w:pPr>
        <w:pStyle w:val="22"/>
        <w:keepNext w:val="0"/>
        <w:keepLines w:val="0"/>
        <w:widowControl/>
        <w:suppressLineNumbers w:val="0"/>
        <w:spacing w:beforeAutospacing="1" w:afterAutospacing="1"/>
        <w:ind w:left="0" w:firstLine="0"/>
      </w:pPr>
      <w:r>
        <w:drawing>
          <wp:inline distT="0" distB="0" distL="114300" distR="114300">
            <wp:extent cx="5210810" cy="4114800"/>
            <wp:effectExtent l="0" t="0" r="21590" b="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pic:cNvPicPr>
                      <a:picLocks noChangeAspect="1"/>
                    </pic:cNvPicPr>
                  </pic:nvPicPr>
                  <pic:blipFill>
                    <a:blip r:embed="rId9"/>
                    <a:stretch>
                      <a:fillRect/>
                    </a:stretch>
                  </pic:blipFill>
                  <pic:spPr>
                    <a:xfrm>
                      <a:off x="0" y="0"/>
                      <a:ext cx="5210810" cy="4114800"/>
                    </a:xfrm>
                    <a:prstGeom prst="rect">
                      <a:avLst/>
                    </a:prstGeom>
                    <a:noFill/>
                    <a:ln>
                      <a:noFill/>
                    </a:ln>
                  </pic:spPr>
                </pic:pic>
              </a:graphicData>
            </a:graphic>
          </wp:inline>
        </w:drawing>
      </w:r>
    </w:p>
    <w:p w14:paraId="79AD47F7">
      <w:pPr>
        <w:pStyle w:val="7"/>
        <w:jc w:val="center"/>
        <w:rPr>
          <w:rFonts w:hint="default" w:ascii="Times New Roman Italic" w:hAnsi="Times New Roman Italic" w:eastAsia="宋体" w:cs="Times New Roman Italic"/>
          <w:i/>
          <w:iCs/>
          <w:lang w:eastAsia="zh-CN"/>
        </w:rPr>
      </w:pPr>
      <w:r>
        <w:rPr>
          <w:rFonts w:hint="default" w:ascii="Times New Roman Italic" w:hAnsi="Times New Roman Italic" w:cs="Times New Roman Italic"/>
          <w:i/>
          <w:iCs/>
        </w:rPr>
        <w:t xml:space="preserve">Table </w:t>
      </w:r>
      <w:r>
        <w:rPr>
          <w:rFonts w:hint="default" w:ascii="Times New Roman Italic" w:hAnsi="Times New Roman Italic" w:cs="Times New Roman Italic"/>
          <w:i/>
          <w:iCs/>
        </w:rPr>
        <w:fldChar w:fldCharType="begin"/>
      </w:r>
      <w:r>
        <w:rPr>
          <w:rFonts w:hint="default" w:ascii="Times New Roman Italic" w:hAnsi="Times New Roman Italic" w:cs="Times New Roman Italic"/>
          <w:i/>
          <w:iCs/>
        </w:rPr>
        <w:instrText xml:space="preserve"> SEQ Table \* ARABIC </w:instrText>
      </w:r>
      <w:r>
        <w:rPr>
          <w:rFonts w:hint="default" w:ascii="Times New Roman Italic" w:hAnsi="Times New Roman Italic" w:cs="Times New Roman Italic"/>
          <w:i/>
          <w:iCs/>
        </w:rPr>
        <w:fldChar w:fldCharType="separate"/>
      </w:r>
      <w:r>
        <w:rPr>
          <w:rFonts w:hint="default" w:ascii="Times New Roman Italic" w:hAnsi="Times New Roman Italic" w:cs="Times New Roman Italic"/>
          <w:i/>
          <w:iCs/>
        </w:rPr>
        <w:t>1</w:t>
      </w:r>
      <w:r>
        <w:rPr>
          <w:rFonts w:hint="default" w:ascii="Times New Roman Italic" w:hAnsi="Times New Roman Italic" w:cs="Times New Roman Italic"/>
          <w:i/>
          <w:iCs/>
        </w:rPr>
        <w:fldChar w:fldCharType="end"/>
      </w:r>
      <w:r>
        <w:rPr>
          <w:rFonts w:hint="default" w:ascii="Times New Roman Italic" w:hAnsi="Times New Roman Italic" w:cs="Times New Roman Italic"/>
          <w:i/>
          <w:iCs/>
          <w:lang w:eastAsia="zh-CN"/>
        </w:rPr>
        <w:t xml:space="preserve"> </w:t>
      </w:r>
      <w:r>
        <w:rPr>
          <w:rFonts w:hint="default" w:ascii="Times New Roman Italic" w:hAnsi="Times New Roman Italic" w:cs="Times New Roman Italic"/>
          <w:i/>
          <w:iCs/>
          <w:lang w:val="en-US" w:eastAsia="zh-CN"/>
        </w:rPr>
        <w:t>Coupling of Typhoon Hazard and Agricultural Exposure in Selected Asian Economies</w:t>
      </w:r>
    </w:p>
    <w:tbl>
      <w:tblPr>
        <w:tblStyle w:val="24"/>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82"/>
        <w:gridCol w:w="1100"/>
        <w:gridCol w:w="1545"/>
        <w:gridCol w:w="1540"/>
        <w:gridCol w:w="1464"/>
        <w:gridCol w:w="1254"/>
      </w:tblGrid>
      <w:tr w14:paraId="30D36D1E">
        <w:trPr>
          <w:trHeight w:val="420" w:hRule="atLeast"/>
        </w:trPr>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3EA573D6">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Bold" w:hAnsi="Times New Roman Bold" w:eastAsia="宋体" w:cs="Times New Roman Bold"/>
                <w:b/>
                <w:bCs w:val="0"/>
                <w:kern w:val="0"/>
                <w:sz w:val="20"/>
                <w:szCs w:val="20"/>
                <w:lang w:val="en-US" w:eastAsia="zh-CN" w:bidi="ar"/>
              </w:rPr>
              <w:t>Category</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84BBF6C">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Bold" w:hAnsi="Times New Roman Bold" w:eastAsia="宋体" w:cs="Times New Roman Bold"/>
                <w:b/>
                <w:bCs w:val="0"/>
                <w:kern w:val="0"/>
                <w:sz w:val="20"/>
                <w:szCs w:val="20"/>
                <w:lang w:val="en-US" w:eastAsia="zh-CN" w:bidi="ar"/>
              </w:rPr>
              <w:t>Country</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C643C9A">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Bold" w:hAnsi="Times New Roman Bold" w:eastAsia="宋体" w:cs="Times New Roman Bold"/>
                <w:b/>
                <w:bCs w:val="0"/>
                <w:kern w:val="0"/>
                <w:sz w:val="20"/>
                <w:szCs w:val="20"/>
                <w:highlight w:val="none"/>
                <w:lang w:val="en-US" w:eastAsia="zh-CN" w:bidi="ar"/>
              </w:rPr>
              <w:t>Agri. Value Added (% of GDP, Avg)</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528CB7F">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Bold" w:hAnsi="Times New Roman Bold" w:eastAsia="宋体" w:cs="Times New Roman Bold"/>
                <w:b/>
                <w:bCs w:val="0"/>
                <w:kern w:val="0"/>
                <w:sz w:val="20"/>
                <w:szCs w:val="20"/>
                <w:lang w:val="en-US" w:eastAsia="zh-CN" w:bidi="ar"/>
              </w:rPr>
              <w:t>Typhoon Frequency (Events)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76D53512">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Bold" w:hAnsi="Times New Roman Bold" w:eastAsia="宋体" w:cs="Times New Roman Bold"/>
                <w:b/>
                <w:bCs w:val="0"/>
                <w:kern w:val="0"/>
                <w:sz w:val="20"/>
                <w:szCs w:val="20"/>
                <w:lang w:val="en-US" w:eastAsia="zh-CN" w:bidi="ar"/>
              </w:rPr>
              <w:t>Total Affected (Million People)</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bottom w:w="40" w:type="dxa"/>
            </w:tcMar>
            <w:vAlign w:val="bottom"/>
          </w:tcPr>
          <w:p w14:paraId="687C683F">
            <w:pPr>
              <w:keepNext w:val="0"/>
              <w:keepLines w:val="0"/>
              <w:widowControl/>
              <w:suppressLineNumbers w:val="0"/>
              <w:pBdr>
                <w:top w:val="none" w:color="auto" w:sz="0" w:space="0"/>
                <w:left w:val="none" w:color="auto" w:sz="0" w:space="0"/>
                <w:bottom w:val="none" w:color="auto" w:sz="0" w:space="0"/>
                <w:right w:val="none" w:color="auto" w:sz="0" w:space="0"/>
              </w:pBdr>
              <w:bidi w:val="0"/>
              <w:jc w:val="center"/>
              <w:textAlignment w:val="bottom"/>
              <w:rPr>
                <w:rFonts w:hint="default" w:ascii="Times New Roman Regular" w:hAnsi="Times New Roman Regular" w:cs="Times New Roman Regular"/>
                <w:sz w:val="20"/>
                <w:szCs w:val="20"/>
              </w:rPr>
            </w:pPr>
            <w:r>
              <w:rPr>
                <w:rFonts w:hint="default" w:ascii="Times New Roman Bold" w:hAnsi="Times New Roman Bold" w:eastAsia="宋体" w:cs="Times New Roman Bold"/>
                <w:b/>
                <w:bCs w:val="0"/>
                <w:kern w:val="0"/>
                <w:sz w:val="20"/>
                <w:szCs w:val="20"/>
                <w:lang w:val="en-US" w:eastAsia="zh-CN" w:bidi="ar"/>
              </w:rPr>
              <w:t>Total Deaths (Human Cost)</w:t>
            </w:r>
          </w:p>
        </w:tc>
      </w:tr>
      <w:tr w14:paraId="19B7331B">
        <w:trPr>
          <w:trHeight w:val="420" w:hRule="atLeast"/>
        </w:trPr>
        <w:tc>
          <w:tcPr>
            <w:tcW w:w="0" w:type="auto"/>
            <w:vMerge w:val="restart"/>
            <w:tcBorders>
              <w:top w:val="single" w:color="auto" w:sz="4" w:space="0"/>
              <w:left w:val="single" w:color="auto" w:sz="4" w:space="0"/>
              <w:right w:val="single" w:color="auto" w:sz="4" w:space="0"/>
            </w:tcBorders>
            <w:shd w:val="clear" w:color="auto" w:fill="auto"/>
            <w:tcMar>
              <w:top w:w="40" w:type="dxa"/>
              <w:left w:w="60" w:type="dxa"/>
              <w:bottom w:w="40" w:type="dxa"/>
              <w:right w:w="60" w:type="dxa"/>
            </w:tcMar>
            <w:vAlign w:val="bottom"/>
          </w:tcPr>
          <w:p w14:paraId="222C3CFA">
            <w:pPr>
              <w:keepNext w:val="0"/>
              <w:keepLines w:val="0"/>
              <w:widowControl/>
              <w:suppressLineNumbers w:val="0"/>
              <w:bidi w:val="0"/>
              <w:jc w:val="center"/>
              <w:textAlignment w:val="bottom"/>
              <w:rPr>
                <w:rFonts w:hint="default" w:ascii="Times New Roman Regular" w:hAnsi="Times New Roman Regular" w:eastAsia="宋体" w:cs="Times New Roman Regular"/>
                <w:bCs/>
                <w:kern w:val="0"/>
                <w:sz w:val="20"/>
                <w:szCs w:val="20"/>
                <w:lang w:val="en-US" w:eastAsia="zh-CN" w:bidi="ar"/>
              </w:rPr>
            </w:pPr>
            <w:r>
              <w:rPr>
                <w:rFonts w:hint="default" w:ascii="Times New Roman Regular" w:hAnsi="Times New Roman Regular" w:eastAsia="宋体" w:cs="Times New Roman Regular"/>
                <w:bCs/>
                <w:kern w:val="0"/>
                <w:sz w:val="20"/>
                <w:szCs w:val="20"/>
                <w:lang w:val="en-US" w:eastAsia="zh-CN" w:bidi="ar"/>
              </w:rPr>
              <w:t>High Dependency</w:t>
            </w:r>
          </w:p>
          <w:p w14:paraId="4FAA9D92">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(&gt;10% Agri. GDP)</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B188C8A">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Madagascar</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55BFC3E">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22.50%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0534557B">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3E58F6D">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6.37</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D0560EC">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1,865</w:t>
            </w:r>
          </w:p>
        </w:tc>
      </w:tr>
      <w:tr w14:paraId="4A648D9F">
        <w:trPr>
          <w:trHeight w:val="420" w:hRule="atLeast"/>
        </w:trPr>
        <w:tc>
          <w:tcPr>
            <w:tcW w:w="0" w:type="auto"/>
            <w:vMerge w:val="continue"/>
            <w:tcBorders>
              <w:left w:val="single" w:color="auto" w:sz="4" w:space="0"/>
              <w:right w:val="single" w:color="auto" w:sz="4" w:space="0"/>
            </w:tcBorders>
            <w:shd w:val="clear" w:color="auto" w:fill="auto"/>
            <w:tcMar>
              <w:top w:w="40" w:type="dxa"/>
              <w:left w:w="60" w:type="dxa"/>
              <w:bottom w:w="40" w:type="dxa"/>
              <w:right w:w="60" w:type="dxa"/>
            </w:tcMar>
            <w:vAlign w:val="bottom"/>
          </w:tcPr>
          <w:p w14:paraId="33BD989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DE2CFA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India</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18447AE">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16.20%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FA2CD94">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78A9BD7">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72.16</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0FA1E0B1">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2,488</w:t>
            </w:r>
          </w:p>
        </w:tc>
      </w:tr>
      <w:tr w14:paraId="4F6ED83A">
        <w:trPr>
          <w:trHeight w:val="420" w:hRule="atLeast"/>
        </w:trPr>
        <w:tc>
          <w:tcPr>
            <w:tcW w:w="0" w:type="auto"/>
            <w:vMerge w:val="continue"/>
            <w:tcBorders>
              <w:left w:val="single" w:color="auto" w:sz="4" w:space="0"/>
              <w:right w:val="single" w:color="auto" w:sz="4" w:space="0"/>
            </w:tcBorders>
            <w:shd w:val="clear" w:color="auto" w:fill="auto"/>
            <w:tcMar>
              <w:top w:w="40" w:type="dxa"/>
              <w:left w:w="60" w:type="dxa"/>
              <w:bottom w:w="40" w:type="dxa"/>
              <w:right w:w="60" w:type="dxa"/>
            </w:tcMar>
            <w:vAlign w:val="bottom"/>
          </w:tcPr>
          <w:p w14:paraId="0D520166">
            <w:pPr>
              <w:jc w:val="center"/>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B7AD0E4">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Haiti</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30A5DD42">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15.90%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B4E445E">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2E5E45C">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3.13</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7C59CD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4,344</w:t>
            </w:r>
          </w:p>
        </w:tc>
      </w:tr>
      <w:tr w14:paraId="49FB8752">
        <w:trPr>
          <w:trHeight w:val="420" w:hRule="atLeast"/>
        </w:trPr>
        <w:tc>
          <w:tcPr>
            <w:tcW w:w="0" w:type="auto"/>
            <w:vMerge w:val="continue"/>
            <w:tcBorders>
              <w:left w:val="single" w:color="auto" w:sz="4" w:space="0"/>
              <w:right w:val="single" w:color="auto" w:sz="4" w:space="0"/>
            </w:tcBorders>
            <w:shd w:val="clear" w:color="auto" w:fill="auto"/>
            <w:tcMar>
              <w:top w:w="40" w:type="dxa"/>
              <w:left w:w="60" w:type="dxa"/>
              <w:bottom w:w="40" w:type="dxa"/>
              <w:right w:w="60" w:type="dxa"/>
            </w:tcMar>
            <w:vAlign w:val="bottom"/>
          </w:tcPr>
          <w:p w14:paraId="1CCECD7F">
            <w:pPr>
              <w:jc w:val="center"/>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48ED209">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Bangladesh</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E204582">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11.00%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456796D">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0FE1FF3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33.99</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0E6521CC">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5,315</w:t>
            </w:r>
          </w:p>
        </w:tc>
      </w:tr>
      <w:tr w14:paraId="48A6827E">
        <w:trPr>
          <w:trHeight w:val="420" w:hRule="atLeast"/>
        </w:trPr>
        <w:tc>
          <w:tcPr>
            <w:tcW w:w="0" w:type="auto"/>
            <w:vMerge w:val="continue"/>
            <w:tcBorders>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51FAD61">
            <w:pPr>
              <w:jc w:val="center"/>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2200D6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Viet Nam</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3F51AFF3">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11.90%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1454DAF">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70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CDC40E3">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23.04</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77F52F4E">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2,438</w:t>
            </w:r>
          </w:p>
        </w:tc>
      </w:tr>
      <w:tr w14:paraId="2AA0374B">
        <w:trPr>
          <w:trHeight w:val="420" w:hRule="atLeast"/>
        </w:trPr>
        <w:tc>
          <w:tcPr>
            <w:tcW w:w="0" w:type="auto"/>
            <w:vMerge w:val="restart"/>
            <w:tcBorders>
              <w:top w:val="single" w:color="auto" w:sz="4" w:space="0"/>
              <w:left w:val="single" w:color="auto" w:sz="4" w:space="0"/>
              <w:right w:val="single" w:color="auto" w:sz="4" w:space="0"/>
            </w:tcBorders>
            <w:shd w:val="clear" w:color="auto" w:fill="auto"/>
            <w:tcMar>
              <w:top w:w="40" w:type="dxa"/>
              <w:left w:w="60" w:type="dxa"/>
              <w:bottom w:w="40" w:type="dxa"/>
              <w:right w:w="60" w:type="dxa"/>
            </w:tcMar>
            <w:vAlign w:val="bottom"/>
          </w:tcPr>
          <w:p w14:paraId="3301AAC3">
            <w:pPr>
              <w:keepNext w:val="0"/>
              <w:keepLines w:val="0"/>
              <w:widowControl/>
              <w:suppressLineNumbers w:val="0"/>
              <w:bidi w:val="0"/>
              <w:jc w:val="center"/>
              <w:textAlignment w:val="bottom"/>
              <w:rPr>
                <w:rFonts w:hint="default" w:ascii="Times New Roman Regular" w:hAnsi="Times New Roman Regular" w:eastAsia="宋体" w:cs="Times New Roman Regular"/>
                <w:bCs/>
                <w:kern w:val="0"/>
                <w:sz w:val="20"/>
                <w:szCs w:val="20"/>
                <w:lang w:val="en-US" w:eastAsia="zh-CN" w:bidi="ar"/>
              </w:rPr>
            </w:pPr>
            <w:r>
              <w:rPr>
                <w:rFonts w:hint="default" w:ascii="Times New Roman Regular" w:hAnsi="Times New Roman Regular" w:eastAsia="宋体" w:cs="Times New Roman Regular"/>
                <w:bCs/>
                <w:kern w:val="0"/>
                <w:sz w:val="20"/>
                <w:szCs w:val="20"/>
                <w:lang w:val="en-US" w:eastAsia="zh-CN" w:bidi="ar"/>
              </w:rPr>
              <w:t>Moderate Dependency</w:t>
            </w:r>
          </w:p>
          <w:p w14:paraId="7FCB5F0D">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(5-10% Agri. GDP)</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574C8A4">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Philippines</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F54FDFF">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9.40%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56D7385">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184</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E016A61">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170.02</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DF85226">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21,050</w:t>
            </w:r>
          </w:p>
        </w:tc>
      </w:tr>
      <w:tr w14:paraId="0B9F172D">
        <w:trPr>
          <w:trHeight w:val="420" w:hRule="atLeast"/>
        </w:trPr>
        <w:tc>
          <w:tcPr>
            <w:tcW w:w="0" w:type="auto"/>
            <w:vMerge w:val="continue"/>
            <w:tcBorders>
              <w:left w:val="single" w:color="auto" w:sz="4" w:space="0"/>
              <w:right w:val="single" w:color="auto" w:sz="4" w:space="0"/>
            </w:tcBorders>
            <w:shd w:val="clear" w:color="auto" w:fill="auto"/>
            <w:tcMar>
              <w:top w:w="40" w:type="dxa"/>
              <w:left w:w="60" w:type="dxa"/>
              <w:bottom w:w="40" w:type="dxa"/>
              <w:right w:w="60" w:type="dxa"/>
            </w:tcMar>
            <w:vAlign w:val="bottom"/>
          </w:tcPr>
          <w:p w14:paraId="14F271C7">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321BCEA9">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China</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0D13E4A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6.90%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1326B52">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112</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D5702E5">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187.06</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8732C27">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3,572</w:t>
            </w:r>
          </w:p>
        </w:tc>
      </w:tr>
      <w:tr w14:paraId="4BC80F00">
        <w:trPr>
          <w:trHeight w:val="420" w:hRule="atLeast"/>
        </w:trPr>
        <w:tc>
          <w:tcPr>
            <w:tcW w:w="0" w:type="auto"/>
            <w:vMerge w:val="continue"/>
            <w:tcBorders>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2BE32E3">
            <w:pPr>
              <w:jc w:val="center"/>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2261147">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Thailand</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70A608B">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8.60%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792AB56C">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6F81D5B">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0B81C2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187</w:t>
            </w:r>
          </w:p>
        </w:tc>
      </w:tr>
      <w:tr w14:paraId="1B37E53E">
        <w:trPr>
          <w:trHeight w:val="420" w:hRule="atLeast"/>
        </w:trPr>
        <w:tc>
          <w:tcPr>
            <w:tcW w:w="0" w:type="auto"/>
            <w:vMerge w:val="restart"/>
            <w:tcBorders>
              <w:top w:val="single" w:color="auto" w:sz="4" w:space="0"/>
              <w:left w:val="single" w:color="auto" w:sz="4" w:space="0"/>
              <w:right w:val="single" w:color="auto" w:sz="4" w:space="0"/>
            </w:tcBorders>
            <w:shd w:val="clear" w:color="auto" w:fill="auto"/>
            <w:tcMar>
              <w:top w:w="40" w:type="dxa"/>
              <w:left w:w="60" w:type="dxa"/>
              <w:bottom w:w="40" w:type="dxa"/>
              <w:right w:w="60" w:type="dxa"/>
            </w:tcMar>
            <w:vAlign w:val="bottom"/>
          </w:tcPr>
          <w:p w14:paraId="6E303A00">
            <w:pPr>
              <w:keepNext w:val="0"/>
              <w:keepLines w:val="0"/>
              <w:widowControl/>
              <w:suppressLineNumbers w:val="0"/>
              <w:bidi w:val="0"/>
              <w:jc w:val="center"/>
              <w:textAlignment w:val="bottom"/>
              <w:rPr>
                <w:rFonts w:hint="default" w:ascii="Times New Roman Regular" w:hAnsi="Times New Roman Regular" w:eastAsia="宋体" w:cs="Times New Roman Regular"/>
                <w:bCs/>
                <w:kern w:val="0"/>
                <w:sz w:val="20"/>
                <w:szCs w:val="20"/>
                <w:lang w:val="en-US" w:eastAsia="zh-CN" w:bidi="ar"/>
              </w:rPr>
            </w:pPr>
            <w:r>
              <w:rPr>
                <w:rFonts w:hint="default" w:ascii="Times New Roman Regular" w:hAnsi="Times New Roman Regular" w:eastAsia="宋体" w:cs="Times New Roman Regular"/>
                <w:bCs/>
                <w:kern w:val="0"/>
                <w:sz w:val="20"/>
                <w:szCs w:val="20"/>
                <w:lang w:val="en-US" w:eastAsia="zh-CN" w:bidi="ar"/>
              </w:rPr>
              <w:t>Low Dependency</w:t>
            </w:r>
          </w:p>
          <w:p w14:paraId="74DD2BDA">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(&lt;4% Agri. GDP)</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09CED753">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Mexico</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33410542">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3.60%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DA6DF13">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77</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48F65BE8">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7.21</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39882C6">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832</w:t>
            </w:r>
          </w:p>
        </w:tc>
      </w:tr>
      <w:tr w14:paraId="1846364D">
        <w:trPr>
          <w:trHeight w:val="420" w:hRule="atLeast"/>
        </w:trPr>
        <w:tc>
          <w:tcPr>
            <w:tcW w:w="0" w:type="auto"/>
            <w:vMerge w:val="continue"/>
            <w:tcBorders>
              <w:left w:val="single" w:color="auto" w:sz="4" w:space="0"/>
              <w:right w:val="single" w:color="auto" w:sz="4" w:space="0"/>
            </w:tcBorders>
            <w:shd w:val="clear" w:color="auto" w:fill="auto"/>
            <w:tcMar>
              <w:top w:w="40" w:type="dxa"/>
              <w:left w:w="60" w:type="dxa"/>
              <w:bottom w:w="40" w:type="dxa"/>
              <w:right w:w="60" w:type="dxa"/>
            </w:tcMar>
            <w:vAlign w:val="bottom"/>
          </w:tcPr>
          <w:p w14:paraId="34F09009">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342B784">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USA</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FFCA01A">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1.20%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1E4A4A2">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66</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5D47645">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11.28</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C5BC60C">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3,407</w:t>
            </w:r>
          </w:p>
        </w:tc>
      </w:tr>
      <w:tr w14:paraId="5F7CDC48">
        <w:trPr>
          <w:trHeight w:val="420" w:hRule="atLeast"/>
        </w:trPr>
        <w:tc>
          <w:tcPr>
            <w:tcW w:w="0" w:type="auto"/>
            <w:vMerge w:val="continue"/>
            <w:tcBorders>
              <w:left w:val="single" w:color="auto" w:sz="4" w:space="0"/>
              <w:right w:val="single" w:color="auto" w:sz="4" w:space="0"/>
            </w:tcBorders>
            <w:shd w:val="clear" w:color="auto" w:fill="auto"/>
            <w:tcMar>
              <w:top w:w="40" w:type="dxa"/>
              <w:left w:w="60" w:type="dxa"/>
              <w:bottom w:w="40" w:type="dxa"/>
              <w:right w:w="60" w:type="dxa"/>
            </w:tcMar>
            <w:vAlign w:val="bottom"/>
          </w:tcPr>
          <w:p w14:paraId="0F9DCD1C">
            <w:pPr>
              <w:jc w:val="center"/>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278539E7">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Japan</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431CFFA">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0.90%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065B9EAF">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69</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79D8AFA7">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1.77</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9B721E9">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700</w:t>
            </w:r>
          </w:p>
        </w:tc>
      </w:tr>
      <w:tr w14:paraId="68F43B61">
        <w:trPr>
          <w:trHeight w:val="420" w:hRule="atLeast"/>
        </w:trPr>
        <w:tc>
          <w:tcPr>
            <w:tcW w:w="0" w:type="auto"/>
            <w:vMerge w:val="continue"/>
            <w:tcBorders>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23B76D6">
            <w:pPr>
              <w:jc w:val="center"/>
              <w:rPr>
                <w:rFonts w:hint="default" w:ascii="Times New Roman Regular" w:hAnsi="Times New Roman Regular" w:cs="Times New Roman Regular"/>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3F9297A6">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South Korea</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602E619E">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1.60%</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7204513C">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11AEB89E">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0.34</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40" w:type="dxa"/>
              <w:left w:w="60" w:type="dxa"/>
              <w:bottom w:w="40" w:type="dxa"/>
              <w:right w:w="60" w:type="dxa"/>
            </w:tcMar>
            <w:vAlign w:val="bottom"/>
          </w:tcPr>
          <w:p w14:paraId="5A4C2E61">
            <w:pPr>
              <w:keepNext w:val="0"/>
              <w:keepLines w:val="0"/>
              <w:widowControl/>
              <w:suppressLineNumbers w:val="0"/>
              <w:bidi w:val="0"/>
              <w:jc w:val="center"/>
              <w:textAlignment w:val="bottom"/>
              <w:rPr>
                <w:rFonts w:hint="default" w:ascii="Times New Roman Regular" w:hAnsi="Times New Roman Regular" w:cs="Times New Roman Regular"/>
                <w:sz w:val="20"/>
                <w:szCs w:val="20"/>
              </w:rPr>
            </w:pPr>
            <w:r>
              <w:rPr>
                <w:rFonts w:hint="default" w:ascii="Times New Roman Regular" w:hAnsi="Times New Roman Regular" w:eastAsia="宋体" w:cs="Times New Roman Regular"/>
                <w:bCs/>
                <w:kern w:val="0"/>
                <w:sz w:val="20"/>
                <w:szCs w:val="20"/>
                <w:lang w:val="en-US" w:eastAsia="zh-CN" w:bidi="ar"/>
              </w:rPr>
              <w:t>512</w:t>
            </w:r>
          </w:p>
        </w:tc>
      </w:tr>
    </w:tbl>
    <w:p w14:paraId="4CE5E341">
      <w:pPr>
        <w:pStyle w:val="22"/>
        <w:keepNext w:val="0"/>
        <w:keepLines w:val="0"/>
        <w:widowControl/>
        <w:suppressLineNumbers w:val="0"/>
        <w:spacing w:beforeAutospacing="1" w:afterAutospacing="1"/>
        <w:ind w:left="0" w:firstLine="0"/>
      </w:pPr>
    </w:p>
    <w:p w14:paraId="4116D6CD">
      <w:pPr>
        <w:pStyle w:val="3"/>
        <w:numPr>
          <w:ilvl w:val="1"/>
          <w:numId w:val="0"/>
        </w:numPr>
        <w:ind w:leftChars="0"/>
      </w:pPr>
      <w:bookmarkStart w:id="14" w:name="_Toc199293205"/>
      <w:bookmarkStart w:id="15" w:name="_Toc199338620"/>
      <w:bookmarkStart w:id="16" w:name="_Toc216969479"/>
      <w:bookmarkStart w:id="17" w:name="_Toc199198780"/>
      <w:bookmarkStart w:id="18" w:name="_Toc202552614"/>
      <w:bookmarkStart w:id="19" w:name="_Toc212728528"/>
      <w:bookmarkStart w:id="20" w:name="_Toc4720"/>
      <w:r>
        <w:t>Problem Statement</w:t>
      </w:r>
      <w:bookmarkEnd w:id="14"/>
      <w:bookmarkEnd w:id="15"/>
      <w:bookmarkEnd w:id="16"/>
      <w:bookmarkEnd w:id="17"/>
      <w:bookmarkEnd w:id="18"/>
      <w:bookmarkEnd w:id="19"/>
      <w:bookmarkEnd w:id="20"/>
    </w:p>
    <w:p w14:paraId="514F50EB">
      <w:pPr>
        <w:pStyle w:val="22"/>
        <w:keepNext w:val="0"/>
        <w:keepLines w:val="0"/>
        <w:widowControl/>
        <w:suppressLineNumbers w:val="0"/>
        <w:spacing w:beforeAutospacing="1" w:afterAutospacing="1"/>
        <w:ind w:left="0" w:firstLine="0"/>
        <w:rPr>
          <w:i w:val="0"/>
          <w:iCs w:val="0"/>
          <w:caps w:val="0"/>
          <w:color w:val="000000"/>
          <w:spacing w:val="0"/>
          <w:u w:val="none"/>
        </w:rPr>
      </w:pPr>
      <w:bookmarkStart w:id="21" w:name="_Toc199293206"/>
      <w:bookmarkStart w:id="22" w:name="_Toc212728529"/>
      <w:bookmarkStart w:id="23" w:name="_Toc202552615"/>
      <w:bookmarkStart w:id="24" w:name="_Toc23172"/>
      <w:bookmarkStart w:id="25" w:name="_Toc199338621"/>
      <w:bookmarkStart w:id="26" w:name="_Toc216969480"/>
      <w:bookmarkStart w:id="27" w:name="_Toc199198781"/>
      <w:r>
        <w:rPr>
          <w:i w:val="0"/>
          <w:iCs w:val="0"/>
          <w:caps w:val="0"/>
          <w:color w:val="000000"/>
          <w:spacing w:val="0"/>
          <w:u w:val="none"/>
        </w:rPr>
        <w:t>Typhoon disasters have become more frequent and intense in recent years, producing humanitarian crises and persistent socioeconomic disruptions across Asia. In the Pacific typhoon belt, recurrent tropical cyclones are associated with sizable fluctuations in output, employment, and fiscal stability, raising urgent questions about how extreme weather shapes long-run development rather than only short-run losses (Guo et al., 2024; WMO, 2023; Arias et al., 2024; World Bank, 2022). Existing evidence indicates that typhoons depress macroeconomic performance through both direct and indirect channels: destruction of infrastructure and productive assets reduces output and jobs, while agriculture—the most exposure-prone sector—transmits supply shocks that raise food prices and erode purchasing power (Hai et al., 2024; Nguyen et al., 2025). These sectoral shocks can reinforce each other, as declining agricultural production contributes to inflation, which suppresses consumption and can worsen unemployment (World Bank, 2022; Guo et al., 2024). Heightened disaster risk also increases investment uncertainty, potentially discouraging FDI inflows and constraining technology diffusion (Li et al., 2024). Yet the mechanisms behind persistent losses remain under-explored. In particular, gross capital formation (GCF)—investment in infrastructure, construction, and machinery—may be a key transmission channel, since severe typhoons can crowd out private investment and redirect public budgets toward emergency spending, slowing capital accumulation and resilience-building (Arias et al., 2024; Guo et al., 2024; Hsiang &amp; Jina, 2014). This study addresses the gap using panel data for 13 Asian economies (2000–2024) and an agriculture-exposure–adjusted Typhoon Intensity Index to quantify intensity and test GCF-mediated macroeconomic effects.</w:t>
      </w:r>
    </w:p>
    <w:p w14:paraId="13DC0E66">
      <w:pPr>
        <w:pStyle w:val="3"/>
        <w:numPr>
          <w:ilvl w:val="1"/>
          <w:numId w:val="0"/>
        </w:numPr>
        <w:ind w:leftChars="0"/>
      </w:pPr>
      <w:r>
        <w:t>Research Gap</w:t>
      </w:r>
    </w:p>
    <w:p w14:paraId="0A9078D3">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Existing studies link capital formation to growth, inflation, FDI, employment, and agriculture, yet key gaps remain. First, disaster–capital research pays limited attention to typhoons—high-frequency, cross-border shocks—and rarely examines how rising typhoon intensity under climate change reshapes the dynamic adjustment of capital formation (Cavallo et al., 2013; Hsiang &amp; Jina, 2014). Second, while GCF–growth evidence is extensive, few studies test whether declining capital accumulation mediates multidimensional macro consequences within a disaster-shock framework (Blomstrom et al., 1996; Uneze, 2013; Wasim Akram et al., 2025). Third, sectoral mechanisms—especially agricultural capital destruction/recovery, employment absorption, and FDI composition—remain underexplored beyond aggregate indicators (Abidin et al., 2022; Zakaria et al., 2019). Fourth, cross-country evidence for high-exposure Asia–Western Pacific economies is still scarce, with many studies emphasizing developed economies or global samples (Bhowmik et al., 2025; Bernanke &amp; Gurkaynak, 2001). Finally, common intensity proxies (deaths, wind speed, physical damage) omit sectoral vulnerability; agriculture-focused exposure measures such as TEI_agri are rarely used, leaving an important methodological gap (Bakkensen &amp; Mendelsohn, 2016; Felbermayr &amp; Groschl, 2014). Addressing these gaps, this paper builds a testable “typhoon intensity–GCF–macro performance” framework to inform resilience and disaster risk management.</w:t>
      </w:r>
    </w:p>
    <w:p w14:paraId="7EF7966C">
      <w:pPr>
        <w:pStyle w:val="22"/>
        <w:keepNext w:val="0"/>
        <w:keepLines w:val="0"/>
        <w:widowControl/>
        <w:suppressLineNumbers w:val="0"/>
        <w:spacing w:beforeAutospacing="1" w:afterAutospacing="1"/>
        <w:ind w:left="0" w:firstLine="0"/>
        <w:rPr>
          <w:i w:val="0"/>
          <w:iCs w:val="0"/>
          <w:caps w:val="0"/>
          <w:color w:val="000000"/>
          <w:spacing w:val="0"/>
          <w:u w:val="none"/>
        </w:rPr>
      </w:pPr>
    </w:p>
    <w:bookmarkEnd w:id="21"/>
    <w:bookmarkEnd w:id="22"/>
    <w:bookmarkEnd w:id="23"/>
    <w:bookmarkEnd w:id="24"/>
    <w:bookmarkEnd w:id="25"/>
    <w:bookmarkEnd w:id="26"/>
    <w:bookmarkEnd w:id="27"/>
    <w:p w14:paraId="4C9D7FF5">
      <w:pPr>
        <w:pStyle w:val="3"/>
        <w:numPr>
          <w:ilvl w:val="1"/>
          <w:numId w:val="0"/>
        </w:numPr>
        <w:ind w:leftChars="0"/>
      </w:pPr>
      <w:bookmarkStart w:id="28" w:name="_Toc199293207"/>
      <w:bookmarkStart w:id="29" w:name="_Toc26677"/>
      <w:bookmarkStart w:id="30" w:name="_Toc199198782"/>
      <w:bookmarkStart w:id="31" w:name="_Toc199338622"/>
      <w:bookmarkStart w:id="32" w:name="_Toc202552616"/>
      <w:bookmarkStart w:id="33" w:name="_Toc216969481"/>
      <w:bookmarkStart w:id="34" w:name="_Toc212728530"/>
      <w:r>
        <w:t>Research Objectives</w:t>
      </w:r>
      <w:bookmarkEnd w:id="28"/>
      <w:bookmarkEnd w:id="29"/>
      <w:bookmarkEnd w:id="30"/>
      <w:bookmarkEnd w:id="31"/>
      <w:bookmarkEnd w:id="32"/>
      <w:bookmarkEnd w:id="33"/>
      <w:bookmarkEnd w:id="34"/>
    </w:p>
    <w:p w14:paraId="5142A60E">
      <w:pPr>
        <w:rPr>
          <w:rFonts w:cs="Times New Roman"/>
          <w:color w:val="000000"/>
        </w:rPr>
      </w:pPr>
      <w:bookmarkStart w:id="35" w:name="_Hlk216015288"/>
      <w:r>
        <w:rPr>
          <w:rFonts w:cs="Times New Roman"/>
          <w:color w:val="000000"/>
        </w:rPr>
        <w:t>This paper aims to systematically assess the impact of typhoon disasters on the macroeconomic performance of Asian economies based on multi-country panel data, focusing on how disaster intensity affects key economic indicators and how this impact is transmitted through domestic capital formation (GCF). Specific research objectives include:</w:t>
      </w:r>
    </w:p>
    <w:p w14:paraId="04E94EF1">
      <w:pPr>
        <w:spacing w:after="30"/>
        <w:rPr>
          <w:rFonts w:cs="Times New Roman"/>
          <w:color w:val="000000"/>
        </w:rPr>
      </w:pPr>
      <w:bookmarkStart w:id="36" w:name="OLE_LINK205"/>
      <w:r>
        <w:rPr>
          <w:rFonts w:cs="Times New Roman"/>
          <w:color w:val="000000"/>
        </w:rPr>
        <w:t>1.</w:t>
      </w:r>
      <w:bookmarkEnd w:id="36"/>
      <w:r>
        <w:rPr>
          <w:rFonts w:hint="eastAsia" w:cs="Times New Roman"/>
          <w:color w:val="000000"/>
        </w:rPr>
        <w:t xml:space="preserve"> </w:t>
      </w:r>
      <w:r>
        <w:rPr>
          <w:rFonts w:cs="Times New Roman"/>
          <w:color w:val="000000"/>
        </w:rPr>
        <w:t>Analyze the impact of typhoon intensity on macroeconomic performance of Asian economies, especially on GDP growth rate, inflation rate, agricultural output, foreign direct investment (FDI) inflows, and employment/unemployment status.</w:t>
      </w:r>
    </w:p>
    <w:p w14:paraId="05861D97">
      <w:pPr>
        <w:rPr>
          <w:rFonts w:cs="Times New Roman"/>
          <w:color w:val="000000"/>
        </w:rPr>
      </w:pPr>
      <w:r>
        <w:rPr>
          <w:rFonts w:cs="Times New Roman"/>
          <w:color w:val="000000"/>
        </w:rPr>
        <w:t>2.</w:t>
      </w:r>
      <w:r>
        <w:rPr>
          <w:rFonts w:hint="eastAsia" w:cs="Times New Roman"/>
          <w:color w:val="000000"/>
        </w:rPr>
        <w:t xml:space="preserve"> </w:t>
      </w:r>
      <w:r>
        <w:rPr>
          <w:rFonts w:cs="Times New Roman"/>
          <w:color w:val="000000"/>
        </w:rPr>
        <w:t>To assess the impact of typhoon disaster intensity on domestic capital formation (GCF) in Asian economies.</w:t>
      </w:r>
    </w:p>
    <w:p w14:paraId="0529D984">
      <w:pPr>
        <w:rPr>
          <w:rFonts w:cs="Times New Roman"/>
          <w:color w:val="000000"/>
        </w:rPr>
      </w:pPr>
      <w:r>
        <w:rPr>
          <w:rFonts w:cs="Times New Roman"/>
          <w:color w:val="000000"/>
        </w:rPr>
        <w:t>3.</w:t>
      </w:r>
      <w:r>
        <w:rPr>
          <w:rFonts w:hint="eastAsia" w:cs="Times New Roman"/>
          <w:color w:val="000000"/>
        </w:rPr>
        <w:t xml:space="preserve"> </w:t>
      </w:r>
      <w:r>
        <w:rPr>
          <w:rFonts w:cs="Times New Roman"/>
          <w:color w:val="000000"/>
        </w:rPr>
        <w:t>To explore the mediating role of domestic capital formation (GCF) and its transmission mechanism between typhoon disaster intensity and the above macroeconomic outcomes.</w:t>
      </w:r>
    </w:p>
    <w:bookmarkEnd w:id="35"/>
    <w:p w14:paraId="7F15DC74">
      <w:pPr>
        <w:keepNext/>
        <w:spacing w:before="468" w:after="468"/>
      </w:pPr>
      <w:bookmarkStart w:id="37" w:name="_Toc199198785"/>
      <w:bookmarkStart w:id="38" w:name="_Toc202552619"/>
      <w:bookmarkStart w:id="39" w:name="_Toc199293210"/>
      <w:bookmarkStart w:id="40" w:name="_Toc199338625"/>
      <w:bookmarkStart w:id="41" w:name="_Toc9091"/>
    </w:p>
    <w:bookmarkEnd w:id="37"/>
    <w:bookmarkEnd w:id="38"/>
    <w:bookmarkEnd w:id="39"/>
    <w:bookmarkEnd w:id="40"/>
    <w:bookmarkEnd w:id="41"/>
    <w:p w14:paraId="3B252200">
      <w:pPr>
        <w:widowControl/>
        <w:spacing w:line="240" w:lineRule="auto"/>
        <w:jc w:val="left"/>
        <w:rPr>
          <w:rFonts w:eastAsia="宋体" w:cs="Times New Roman"/>
          <w:b/>
          <w:sz w:val="28"/>
          <w:szCs w:val="28"/>
        </w:rPr>
      </w:pPr>
      <w:r>
        <w:rPr>
          <w:rFonts w:eastAsia="宋体" w:cs="Times New Roman"/>
        </w:rPr>
        <w:br w:type="page"/>
      </w:r>
    </w:p>
    <w:p w14:paraId="2DD6F70E">
      <w:pPr>
        <w:pStyle w:val="59"/>
        <w:spacing w:after="468"/>
        <w:rPr>
          <w:rFonts w:eastAsia="宋体"/>
        </w:rPr>
      </w:pPr>
      <w:bookmarkStart w:id="42" w:name="_Toc216969487"/>
      <w:r>
        <w:rPr>
          <w:lang w:bidi="ar"/>
        </w:rPr>
        <w:t>LITERATURE REVIEW</w:t>
      </w:r>
      <w:bookmarkEnd w:id="42"/>
    </w:p>
    <w:p w14:paraId="3212A8C7">
      <w:pPr>
        <w:pStyle w:val="3"/>
        <w:numPr>
          <w:ilvl w:val="1"/>
          <w:numId w:val="0"/>
        </w:numPr>
        <w:ind w:leftChars="0"/>
        <w:rPr>
          <w:rFonts w:eastAsiaTheme="minorEastAsia"/>
        </w:rPr>
      </w:pPr>
      <w:bookmarkStart w:id="43" w:name="_Toc199198789"/>
      <w:bookmarkStart w:id="44" w:name="_Toc199338635"/>
      <w:bookmarkStart w:id="45" w:name="_Toc212728537"/>
      <w:bookmarkStart w:id="46" w:name="_Toc199293220"/>
      <w:bookmarkStart w:id="47" w:name="_Toc216969489"/>
      <w:bookmarkStart w:id="48" w:name="_Toc1731"/>
      <w:bookmarkStart w:id="49" w:name="_Toc202552629"/>
      <w:r>
        <w:t>Theoretical Review</w:t>
      </w:r>
      <w:bookmarkEnd w:id="43"/>
      <w:bookmarkEnd w:id="44"/>
      <w:bookmarkEnd w:id="45"/>
      <w:bookmarkEnd w:id="46"/>
      <w:bookmarkEnd w:id="47"/>
      <w:bookmarkEnd w:id="48"/>
      <w:bookmarkEnd w:id="49"/>
    </w:p>
    <w:p w14:paraId="0B406BAB">
      <w:pPr>
        <w:pStyle w:val="4"/>
        <w:numPr>
          <w:ilvl w:val="2"/>
          <w:numId w:val="0"/>
        </w:numPr>
        <w:ind w:leftChars="0"/>
      </w:pPr>
      <w:bookmarkStart w:id="50" w:name="_Toc216969490"/>
      <w:r>
        <w:t>Disaster Economics Theory</w:t>
      </w:r>
      <w:bookmarkEnd w:id="50"/>
    </w:p>
    <w:p w14:paraId="6C53F4DD">
      <w:pPr>
        <w:pStyle w:val="4"/>
        <w:numPr>
          <w:ilvl w:val="2"/>
          <w:numId w:val="0"/>
        </w:numPr>
        <w:ind w:leftChars="0"/>
        <w:jc w:val="both"/>
        <w:rPr>
          <w:b w:val="0"/>
          <w:bCs w:val="0"/>
        </w:rPr>
      </w:pPr>
      <w:bookmarkStart w:id="51" w:name="_Toc216969491"/>
      <w:r>
        <w:rPr>
          <w:b w:val="0"/>
          <w:bCs w:val="0"/>
          <w:lang w:val="en-US" w:eastAsia="zh-CN"/>
        </w:rPr>
        <w:t>Disaster economics conceptualizes natural disasters as exogenous shocks that damage physical capital and infrastructure, thereby reducing productive capacity and suppressing investment, leading to short-run declines in gross capital formation (GCF) (Cavallo et al., 2013; Khan et al., 2023). At the same time, heightened uncertainty and financial risk weaken investor confidence and slow capital accumulation, particularly in economies dependent on vulnerable sectors such as agriculture and coastal industries (Hsiang &amp; Jina, 2014; Hallegatte et al., 2024). The core mechanism can thus be summarized as:</w:t>
      </w:r>
      <w:r>
        <w:rPr>
          <w:rFonts w:hint="default"/>
          <w:b w:val="0"/>
          <w:bCs w:val="0"/>
          <w:lang w:val="en-US" w:eastAsia="zh-CN"/>
        </w:rPr>
        <w:t> </w:t>
      </w:r>
      <w:r>
        <w:rPr>
          <w:b w:val="0"/>
          <w:bCs w:val="0"/>
          <w:lang w:val="en-US" w:eastAsia="zh-CN"/>
        </w:rPr>
        <w:t>capital destruction + investment disruption → lower GCF → weakened macroeconomic recovery capacity</w:t>
      </w:r>
      <w:r>
        <w:rPr>
          <w:rFonts w:hint="default"/>
          <w:b w:val="0"/>
          <w:bCs w:val="0"/>
          <w:lang w:val="en-US" w:eastAsia="zh-CN"/>
        </w:rPr>
        <w:t>.</w:t>
      </w:r>
    </w:p>
    <w:p w14:paraId="25473F5B">
      <w:pPr>
        <w:pStyle w:val="4"/>
        <w:numPr>
          <w:ilvl w:val="2"/>
          <w:numId w:val="0"/>
        </w:numPr>
        <w:ind w:leftChars="0"/>
      </w:pPr>
    </w:p>
    <w:p w14:paraId="5843C7E8">
      <w:pPr>
        <w:pStyle w:val="4"/>
        <w:numPr>
          <w:ilvl w:val="2"/>
          <w:numId w:val="0"/>
        </w:numPr>
        <w:ind w:leftChars="0"/>
      </w:pPr>
      <w:r>
        <w:t>Solow Growth Model</w:t>
      </w:r>
      <w:bookmarkEnd w:id="51"/>
    </w:p>
    <w:p w14:paraId="689A9AF3">
      <w:pPr>
        <w:spacing w:after="468" w:afterLines="150"/>
        <w:rPr>
          <w:rFonts w:cs="Times New Roman"/>
          <w:color w:val="000000"/>
        </w:rPr>
      </w:pPr>
      <w:r>
        <w:rPr>
          <w:rFonts w:hint="eastAsia" w:cs="Times New Roman"/>
          <w:color w:val="000000"/>
        </w:rPr>
        <w:t>Solow growth model emphasizes that capital accumulation is an important source of long-term growth, and the increase in capital stock can improve labor productivity and output capacity, thus supporting sustained GDP growth (Solow, 1956). In this framework, investment is the main source of capital formation, so the change of gross domestic capital formation (GCF) will directly affect the economic growth rate (Mankiw et al., 1992). If exogenous shocks such as typhoons destroy the capital stock, the economy will deviate from the steady growth path and slow down the growth rate. The recovery of public and private investment in the post-disaster reconstruction stage is the key to restore capacity and return to the track of growth. Based on this, this paper expects that the decline in GCF caused by typhoons will inhibit GDP growth, and capital formation constitutes the core transmission channel connecting disaster shocks and growth</w:t>
      </w:r>
      <w:r>
        <w:rPr>
          <w:rFonts w:cs="Times New Roman"/>
          <w:color w:val="000000"/>
        </w:rPr>
        <w:t>.</w:t>
      </w:r>
    </w:p>
    <w:p w14:paraId="0E37391E">
      <w:pPr>
        <w:pStyle w:val="4"/>
        <w:numPr>
          <w:ilvl w:val="2"/>
          <w:numId w:val="0"/>
        </w:numPr>
        <w:ind w:leftChars="0"/>
      </w:pPr>
      <w:bookmarkStart w:id="52" w:name="_Toc216969492"/>
      <w:r>
        <w:t>Capital Accumulation Theory</w:t>
      </w:r>
      <w:bookmarkEnd w:id="52"/>
    </w:p>
    <w:p w14:paraId="7796E965">
      <w:pPr>
        <w:spacing w:after="468" w:afterLines="150"/>
        <w:rPr>
          <w:rFonts w:eastAsia="宋体" w:cs="Times New Roman"/>
          <w:color w:val="000000"/>
        </w:rPr>
      </w:pPr>
      <w:r>
        <w:rPr>
          <w:rFonts w:hint="eastAsia" w:cs="Times New Roman"/>
          <w:color w:val="000000"/>
        </w:rPr>
        <w:t>The theory of capital accumulation holds that capital formation is the basis of long-term growth and structural transformation: capital investment improves labor productivity and production capacity, and promotes industrial competitiveness (Kaldor, 1961). At the physical level, capital formation is reflected in the investment in infrastructure, machinery and equipment and technological progress, which can create employment and improve production efficiency (BarrEre, 1961; Long &amp; Summers, 1991). In agriculture, capital inputs promote mechanization and technological upgrading, which improves output performance and resilience. At the same time, more adequate capital accumulation can help improve the investment climate, stabilize expectations, and make FDI more attractive. Therefore, the theory of capital accumulation provides support for the analysis of "typhoon - capital formation - macro performance" in this paper, and it is expected that the improvement of capital formation will have a positive impact on employment, agricultural development and attracting foreign capital</w:t>
      </w:r>
      <w:r>
        <w:rPr>
          <w:rFonts w:eastAsia="宋体" w:cs="Times New Roman"/>
          <w:color w:val="000000"/>
        </w:rPr>
        <w:t>.</w:t>
      </w:r>
    </w:p>
    <w:p w14:paraId="7384BC0D">
      <w:pPr>
        <w:pStyle w:val="4"/>
        <w:numPr>
          <w:ilvl w:val="2"/>
          <w:numId w:val="0"/>
        </w:numPr>
        <w:ind w:leftChars="0"/>
      </w:pPr>
      <w:bookmarkStart w:id="53" w:name="_Toc216969493"/>
      <w:r>
        <w:t>Supply Shock Theory</w:t>
      </w:r>
      <w:bookmarkEnd w:id="53"/>
      <w:bookmarkStart w:id="54" w:name="OLE_LINK148"/>
    </w:p>
    <w:p w14:paraId="462F425F">
      <w:pPr>
        <w:rPr>
          <w:rFonts w:cs="Times New Roman"/>
          <w:color w:val="000000"/>
        </w:rPr>
      </w:pPr>
      <w:r>
        <w:rPr>
          <w:rFonts w:hint="eastAsia" w:cs="Times New Roman"/>
          <w:color w:val="000000"/>
        </w:rPr>
        <w:t>Supply shock theory suggests that sudden disruptions on the production side can trigger cost-push inflation. By damaging supply chains, infrastructure and agricultural productivity, typhoons constrain the supply of food and raw materials and push up the overall price level (Blanchard &amp; Gali, 2007); Supply constraints and rising logistics costs during the post-disaster recovery phase may also amplify short-term inflation fluctuations (RASCHKY &amp; WECKHANNEMANN, 2007). In contrast, increased capex can ease cost pressures by expanding capacity, improving productivity, and repairing supply networks: infrastructure rehabilitation and improved agricultural production conditions will gradually lower production costs and stabilize prices as gross capital formation (GCF) recovers. Thus, the inflation path of this study can be expressed as follows: supply contraction caused by disasters pushes up inflation, while capital formation plays a key buffer role in restoring supply capacity</w:t>
      </w:r>
      <w:r>
        <w:rPr>
          <w:rFonts w:cs="Times New Roman"/>
          <w:color w:val="000000"/>
        </w:rPr>
        <w:t>.</w:t>
      </w:r>
    </w:p>
    <w:bookmarkEnd w:id="54"/>
    <w:p w14:paraId="5AF32AD7">
      <w:pPr>
        <w:pStyle w:val="3"/>
        <w:numPr>
          <w:ilvl w:val="1"/>
          <w:numId w:val="0"/>
        </w:numPr>
        <w:ind w:leftChars="0"/>
      </w:pPr>
      <w:bookmarkStart w:id="55" w:name="_Toc216969494"/>
      <w:bookmarkStart w:id="56" w:name="_Toc17787"/>
      <w:bookmarkStart w:id="57" w:name="_Toc202552640"/>
      <w:bookmarkStart w:id="58" w:name="_Toc199338645"/>
      <w:bookmarkStart w:id="59" w:name="_Toc199293230"/>
      <w:bookmarkStart w:id="60" w:name="_Toc199198797"/>
      <w:bookmarkStart w:id="61" w:name="_Toc212728541"/>
      <w:r>
        <w:t>Empirical Literature Review</w:t>
      </w:r>
      <w:bookmarkEnd w:id="55"/>
      <w:r>
        <w:t xml:space="preserve"> </w:t>
      </w:r>
      <w:bookmarkEnd w:id="56"/>
      <w:bookmarkEnd w:id="57"/>
      <w:bookmarkEnd w:id="58"/>
      <w:bookmarkEnd w:id="59"/>
      <w:bookmarkEnd w:id="60"/>
      <w:bookmarkEnd w:id="61"/>
      <w:r>
        <w:rPr>
          <w:rFonts w:hint="default"/>
          <w:lang w:val="en-US"/>
        </w:rPr>
        <w:t xml:space="preserve">and </w:t>
      </w:r>
      <w:r>
        <w:t>Hypothesis Development</w:t>
      </w:r>
    </w:p>
    <w:p w14:paraId="5812AB92">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Typhoons and tropical cyclones are widely treated as exogenous shocks that affect macroeconomic performance through capital destruction, supply disruptions, and heightened uncertainty (Cavallo et al., 2013; Felbermayr &amp; Gröschl, 2014). Long-horizon evidence documents persistent “growth scarring” (Hsiang &amp; Jina, 2014), and Asia-focused studies show losses rising nonlinearly with wind intensity and potentially becoming larger under high-emission scenarios (Lee et al., 2020). Disasters also transmit through exposed sectors and markets—agriculture/tourism, prices, labor, and capital flows—linking storms to inflation dynamics and FDI risk premia (Cevik &amp; Jalles, 2024; Asian Development Bank, 2022; Klomp &amp; Valckx, 2014). Hence:</w:t>
      </w:r>
    </w:p>
    <w:p w14:paraId="7EA7A7DE">
      <w:pPr>
        <w:pStyle w:val="22"/>
        <w:keepNext w:val="0"/>
        <w:keepLines w:val="0"/>
        <w:widowControl/>
        <w:suppressLineNumbers w:val="0"/>
        <w:spacing w:beforeAutospacing="1" w:afterAutospacing="1"/>
        <w:ind w:left="0" w:firstLine="0"/>
        <w:rPr>
          <w:i w:val="0"/>
          <w:iCs w:val="0"/>
          <w:caps w:val="0"/>
          <w:color w:val="000000"/>
          <w:spacing w:val="0"/>
          <w:u w:val="none"/>
        </w:rPr>
      </w:pPr>
      <w:r>
        <w:rPr>
          <w:rStyle w:val="27"/>
          <w:i w:val="0"/>
          <w:iCs w:val="0"/>
          <w:caps w:val="0"/>
          <w:color w:val="000000"/>
          <w:spacing w:val="0"/>
          <w:u w:val="none"/>
        </w:rPr>
        <w:t>H1(a)</w:t>
      </w:r>
      <w:r>
        <w:rPr>
          <w:i w:val="0"/>
          <w:iCs w:val="0"/>
          <w:caps w:val="0"/>
          <w:color w:val="000000"/>
          <w:spacing w:val="0"/>
          <w:u w:val="none"/>
        </w:rPr>
        <w:t> Typhoon disaster intensity negatively affects GDP growth.</w:t>
      </w:r>
      <w:r>
        <w:rPr>
          <w:i w:val="0"/>
          <w:iCs w:val="0"/>
          <w:caps w:val="0"/>
          <w:color w:val="000000"/>
          <w:spacing w:val="0"/>
          <w:u w:val="none"/>
        </w:rPr>
        <w:br w:type="textWrapping"/>
      </w:r>
      <w:r>
        <w:rPr>
          <w:rStyle w:val="27"/>
          <w:i w:val="0"/>
          <w:iCs w:val="0"/>
          <w:caps w:val="0"/>
          <w:color w:val="000000"/>
          <w:spacing w:val="0"/>
          <w:u w:val="none"/>
        </w:rPr>
        <w:t>H1(b)</w:t>
      </w:r>
      <w:r>
        <w:rPr>
          <w:i w:val="0"/>
          <w:iCs w:val="0"/>
          <w:caps w:val="0"/>
          <w:color w:val="000000"/>
          <w:spacing w:val="0"/>
          <w:u w:val="none"/>
        </w:rPr>
        <w:t> Typhoon disaster intensity increases inflation.</w:t>
      </w:r>
      <w:r>
        <w:rPr>
          <w:i w:val="0"/>
          <w:iCs w:val="0"/>
          <w:caps w:val="0"/>
          <w:color w:val="000000"/>
          <w:spacing w:val="0"/>
          <w:u w:val="none"/>
        </w:rPr>
        <w:br w:type="textWrapping"/>
      </w:r>
      <w:r>
        <w:rPr>
          <w:rStyle w:val="27"/>
          <w:i w:val="0"/>
          <w:iCs w:val="0"/>
          <w:caps w:val="0"/>
          <w:color w:val="000000"/>
          <w:spacing w:val="0"/>
          <w:u w:val="none"/>
        </w:rPr>
        <w:t>H1(c)</w:t>
      </w:r>
      <w:r>
        <w:rPr>
          <w:i w:val="0"/>
          <w:iCs w:val="0"/>
          <w:caps w:val="0"/>
          <w:color w:val="000000"/>
          <w:spacing w:val="0"/>
          <w:u w:val="none"/>
        </w:rPr>
        <w:t> Typhoon disaster intensity decreases agricultural output.</w:t>
      </w:r>
      <w:r>
        <w:rPr>
          <w:i w:val="0"/>
          <w:iCs w:val="0"/>
          <w:caps w:val="0"/>
          <w:color w:val="000000"/>
          <w:spacing w:val="0"/>
          <w:u w:val="none"/>
        </w:rPr>
        <w:br w:type="textWrapping"/>
      </w:r>
      <w:r>
        <w:rPr>
          <w:rStyle w:val="27"/>
          <w:i w:val="0"/>
          <w:iCs w:val="0"/>
          <w:caps w:val="0"/>
          <w:color w:val="000000"/>
          <w:spacing w:val="0"/>
          <w:u w:val="none"/>
        </w:rPr>
        <w:t>H1(d)</w:t>
      </w:r>
      <w:r>
        <w:rPr>
          <w:i w:val="0"/>
          <w:iCs w:val="0"/>
          <w:caps w:val="0"/>
          <w:color w:val="000000"/>
          <w:spacing w:val="0"/>
          <w:u w:val="none"/>
        </w:rPr>
        <w:t> Typhoon disaster intensity reduces FDI inflows.</w:t>
      </w:r>
      <w:r>
        <w:rPr>
          <w:i w:val="0"/>
          <w:iCs w:val="0"/>
          <w:caps w:val="0"/>
          <w:color w:val="000000"/>
          <w:spacing w:val="0"/>
          <w:u w:val="none"/>
        </w:rPr>
        <w:br w:type="textWrapping"/>
      </w:r>
      <w:r>
        <w:rPr>
          <w:rStyle w:val="27"/>
          <w:i w:val="0"/>
          <w:iCs w:val="0"/>
          <w:caps w:val="0"/>
          <w:color w:val="000000"/>
          <w:spacing w:val="0"/>
          <w:u w:val="none"/>
        </w:rPr>
        <w:t>H1(e)</w:t>
      </w:r>
      <w:r>
        <w:rPr>
          <w:i w:val="0"/>
          <w:iCs w:val="0"/>
          <w:caps w:val="0"/>
          <w:color w:val="000000"/>
          <w:spacing w:val="0"/>
          <w:u w:val="none"/>
        </w:rPr>
        <w:t> Typhoon disaster intensity increases unemployment.</w:t>
      </w:r>
    </w:p>
    <w:p w14:paraId="72510BF6">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A parallel literature argues that disasters depress capital accumulation by destroying productive assets and tightening financing conditions under higher uncertainty (Cavallo, 2011; Hallegatte et al., 2024). Typhoons can damage infrastructure and firms’ fixed assets, reducing private investment, with more persistent effects in fiscally constrained and financially weaker economies (Mateen et al., 2024; Park, 2024; Molnar-Tanaka et al., 2024). Therefore:</w:t>
      </w:r>
    </w:p>
    <w:p w14:paraId="593D0032">
      <w:pPr>
        <w:pStyle w:val="22"/>
        <w:keepNext w:val="0"/>
        <w:keepLines w:val="0"/>
        <w:widowControl/>
        <w:suppressLineNumbers w:val="0"/>
        <w:spacing w:beforeAutospacing="1" w:afterAutospacing="1"/>
        <w:ind w:left="0" w:firstLine="0"/>
        <w:rPr>
          <w:i w:val="0"/>
          <w:iCs w:val="0"/>
          <w:caps w:val="0"/>
          <w:color w:val="000000"/>
          <w:spacing w:val="0"/>
          <w:u w:val="none"/>
        </w:rPr>
      </w:pPr>
      <w:r>
        <w:rPr>
          <w:rStyle w:val="27"/>
          <w:i w:val="0"/>
          <w:iCs w:val="0"/>
          <w:caps w:val="0"/>
          <w:color w:val="000000"/>
          <w:spacing w:val="0"/>
          <w:u w:val="none"/>
        </w:rPr>
        <w:t>H2</w:t>
      </w:r>
      <w:r>
        <w:rPr>
          <w:i w:val="0"/>
          <w:iCs w:val="0"/>
          <w:caps w:val="0"/>
          <w:color w:val="000000"/>
          <w:spacing w:val="0"/>
          <w:u w:val="none"/>
        </w:rPr>
        <w:t> Typhoon disaster intensity exerts a significant negative impact on gross capital formation (GCF).</w:t>
      </w:r>
    </w:p>
    <w:p w14:paraId="74046401">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Finally, capital formation provides a key transmission channel from disaster shocks to macro outcomes. In growth theory, lower investment slows capital accumulation and reduces potential output (Solow, 1956; Mankiw et al., 1992), and empirically GCF is strongly linked to long-run growth across development stages (Blomstrom et al., 1996; Topcu et al., 2020). Reduced GCF can also prolong supply bottlenecks and amplify cost pressures (Feldstein, 1983; Cevik &amp; Jalles, 2024), weaken agricultural capacity and resilience via lower rural investment (Fan et al., 2000; Anik et al., 2017), deteriorate infrastructure and capacity conditions that matter for FDI (Bhowmik et al., 2025; Ko et al., 2025a), and limit investment-led job creation (Pasara &amp; Garidzirai, 2020; Dey, 2022). Hence:</w:t>
      </w:r>
    </w:p>
    <w:p w14:paraId="64BB49AF">
      <w:pPr>
        <w:pStyle w:val="22"/>
        <w:keepNext w:val="0"/>
        <w:keepLines w:val="0"/>
        <w:widowControl/>
        <w:suppressLineNumbers w:val="0"/>
        <w:spacing w:beforeAutospacing="1" w:afterAutospacing="1"/>
        <w:ind w:left="0" w:firstLine="0"/>
        <w:rPr>
          <w:rFonts w:hint="default"/>
          <w:lang w:val="en-US"/>
        </w:rPr>
      </w:pPr>
      <w:r>
        <w:rPr>
          <w:rStyle w:val="27"/>
          <w:i w:val="0"/>
          <w:iCs w:val="0"/>
          <w:caps w:val="0"/>
          <w:color w:val="000000"/>
          <w:spacing w:val="0"/>
          <w:u w:val="none"/>
        </w:rPr>
        <w:t>H3(a)</w:t>
      </w:r>
      <w:r>
        <w:rPr>
          <w:i w:val="0"/>
          <w:iCs w:val="0"/>
          <w:caps w:val="0"/>
          <w:color w:val="000000"/>
          <w:spacing w:val="0"/>
          <w:u w:val="none"/>
        </w:rPr>
        <w:t> Gross capital formation mediates the negative impact of typhoon intensity on GDP growth.</w:t>
      </w:r>
      <w:r>
        <w:rPr>
          <w:i w:val="0"/>
          <w:iCs w:val="0"/>
          <w:caps w:val="0"/>
          <w:color w:val="000000"/>
          <w:spacing w:val="0"/>
          <w:u w:val="none"/>
        </w:rPr>
        <w:br w:type="textWrapping"/>
      </w:r>
      <w:r>
        <w:rPr>
          <w:rStyle w:val="27"/>
          <w:i w:val="0"/>
          <w:iCs w:val="0"/>
          <w:caps w:val="0"/>
          <w:color w:val="000000"/>
          <w:spacing w:val="0"/>
          <w:u w:val="none"/>
        </w:rPr>
        <w:t>H3(b)</w:t>
      </w:r>
      <w:r>
        <w:rPr>
          <w:i w:val="0"/>
          <w:iCs w:val="0"/>
          <w:caps w:val="0"/>
          <w:color w:val="000000"/>
          <w:spacing w:val="0"/>
          <w:u w:val="none"/>
        </w:rPr>
        <w:t> Gross capital formation mediates the positive impact of typhoon intensity on unemployment.</w:t>
      </w:r>
      <w:r>
        <w:rPr>
          <w:i w:val="0"/>
          <w:iCs w:val="0"/>
          <w:caps w:val="0"/>
          <w:color w:val="000000"/>
          <w:spacing w:val="0"/>
          <w:u w:val="none"/>
        </w:rPr>
        <w:br w:type="textWrapping"/>
      </w:r>
      <w:r>
        <w:rPr>
          <w:rStyle w:val="27"/>
          <w:i w:val="0"/>
          <w:iCs w:val="0"/>
          <w:caps w:val="0"/>
          <w:color w:val="000000"/>
          <w:spacing w:val="0"/>
          <w:u w:val="none"/>
        </w:rPr>
        <w:t>H3(c)</w:t>
      </w:r>
      <w:r>
        <w:rPr>
          <w:i w:val="0"/>
          <w:iCs w:val="0"/>
          <w:caps w:val="0"/>
          <w:color w:val="000000"/>
          <w:spacing w:val="0"/>
          <w:u w:val="none"/>
        </w:rPr>
        <w:t> Gross capital formation mediates the negative impact of typhoon intensity on agricultural output.</w:t>
      </w:r>
      <w:r>
        <w:rPr>
          <w:i w:val="0"/>
          <w:iCs w:val="0"/>
          <w:caps w:val="0"/>
          <w:color w:val="000000"/>
          <w:spacing w:val="0"/>
          <w:u w:val="none"/>
        </w:rPr>
        <w:br w:type="textWrapping"/>
      </w:r>
      <w:r>
        <w:rPr>
          <w:rStyle w:val="27"/>
          <w:i w:val="0"/>
          <w:iCs w:val="0"/>
          <w:caps w:val="0"/>
          <w:color w:val="000000"/>
          <w:spacing w:val="0"/>
          <w:u w:val="none"/>
        </w:rPr>
        <w:t>H3(d)</w:t>
      </w:r>
      <w:r>
        <w:rPr>
          <w:i w:val="0"/>
          <w:iCs w:val="0"/>
          <w:caps w:val="0"/>
          <w:color w:val="000000"/>
          <w:spacing w:val="0"/>
          <w:u w:val="none"/>
        </w:rPr>
        <w:t> Gross capital formation mediates the negative impact of typhoon intensity on FDI inflows.</w:t>
      </w:r>
      <w:r>
        <w:rPr>
          <w:i w:val="0"/>
          <w:iCs w:val="0"/>
          <w:caps w:val="0"/>
          <w:color w:val="000000"/>
          <w:spacing w:val="0"/>
          <w:u w:val="none"/>
        </w:rPr>
        <w:br w:type="textWrapping"/>
      </w:r>
      <w:r>
        <w:rPr>
          <w:rStyle w:val="27"/>
          <w:i w:val="0"/>
          <w:iCs w:val="0"/>
          <w:caps w:val="0"/>
          <w:color w:val="000000"/>
          <w:spacing w:val="0"/>
          <w:u w:val="none"/>
        </w:rPr>
        <w:t>H3(e)</w:t>
      </w:r>
      <w:r>
        <w:rPr>
          <w:i w:val="0"/>
          <w:iCs w:val="0"/>
          <w:caps w:val="0"/>
          <w:color w:val="000000"/>
          <w:spacing w:val="0"/>
          <w:u w:val="none"/>
        </w:rPr>
        <w:t> Gross capital formation mediates the positive impact of typhoon intensity on inflation.</w:t>
      </w:r>
    </w:p>
    <w:p w14:paraId="529B7519">
      <w:pPr>
        <w:pStyle w:val="59"/>
        <w:numPr>
          <w:ilvl w:val="0"/>
          <w:numId w:val="0"/>
        </w:numPr>
        <w:spacing w:after="468"/>
        <w:ind w:leftChars="0"/>
        <w:jc w:val="center"/>
      </w:pPr>
      <w:bookmarkStart w:id="62" w:name="_Toc216969503"/>
      <w:bookmarkStart w:id="63" w:name="_Toc4948"/>
      <w:bookmarkStart w:id="64" w:name="_Toc212728548"/>
      <w:bookmarkStart w:id="65" w:name="_Toc202552646"/>
      <w:bookmarkStart w:id="66" w:name="_Toc199198799"/>
      <w:bookmarkStart w:id="67" w:name="_Toc199338651"/>
      <w:bookmarkStart w:id="68" w:name="_Toc199293236"/>
      <w:r>
        <w:t>RESEARCH METHODOLOGY</w:t>
      </w:r>
      <w:bookmarkEnd w:id="62"/>
      <w:bookmarkEnd w:id="63"/>
      <w:bookmarkEnd w:id="64"/>
      <w:bookmarkEnd w:id="65"/>
      <w:bookmarkEnd w:id="66"/>
      <w:bookmarkEnd w:id="67"/>
      <w:bookmarkEnd w:id="68"/>
    </w:p>
    <w:p w14:paraId="0F9A4839">
      <w:pPr>
        <w:pStyle w:val="3"/>
        <w:numPr>
          <w:ilvl w:val="1"/>
          <w:numId w:val="0"/>
        </w:numPr>
        <w:ind w:leftChars="0"/>
      </w:pPr>
      <w:bookmarkStart w:id="69" w:name="_Toc216969505"/>
      <w:r>
        <w:rPr>
          <w:rFonts w:eastAsiaTheme="minorEastAsia"/>
        </w:rPr>
        <w:t>Research Design</w:t>
      </w:r>
      <w:bookmarkEnd w:id="69"/>
    </w:p>
    <w:p w14:paraId="2CD17E76">
      <w:pPr>
        <w:rPr>
          <w:rFonts w:eastAsia="宋体" w:cs="Times New Roman"/>
          <w:spacing w:val="-2"/>
        </w:rPr>
      </w:pPr>
      <w:r>
        <w:rPr>
          <w:rFonts w:eastAsia="宋体" w:cs="Times New Roman"/>
          <w:spacing w:val="-2"/>
          <w:lang w:val="en-US" w:eastAsia="zh-CN"/>
        </w:rPr>
        <w:t xml:space="preserve">The empirical analysis uses panel data. Key variables include a typhoon-disaster intensity measure (core explanatory variable), gross capital formation (GCF; mediator), and five macroeconomic outcomes, with population size, trade openness, and urbanization as controls. </w:t>
      </w:r>
      <w:r>
        <w:rPr>
          <w:rFonts w:cs="Times New Roman"/>
          <w:color w:val="000000"/>
          <w:lang w:val="en-US" w:eastAsia="zh-CN"/>
        </w:rPr>
        <w:t>Balancing exposure coverage with data availability and comparability, we select 13 Asian economies: Bangladesh, India, Sri Lanka, China, Japan, South Korea, the Philippines, Thailand, Vietnam, Laos, Myanmar, Cambodia, and Indonesia.</w:t>
      </w:r>
      <w:r>
        <w:rPr>
          <w:rFonts w:hint="eastAsia" w:cs="Times New Roman"/>
          <w:color w:val="000000"/>
          <w:lang w:val="en-US" w:eastAsia="zh-CN"/>
        </w:rPr>
        <w:t>The selected period is from 2000 to 2024, spanning a total of 25 years. Therefore, there are a total of 325 data points.</w:t>
      </w:r>
      <w:r>
        <w:rPr>
          <w:rFonts w:cs="Times New Roman"/>
          <w:color w:val="000000"/>
          <w:lang w:val="en-US" w:eastAsia="zh-CN"/>
        </w:rPr>
        <w:t xml:space="preserve"> These countries are located in typhoon-prone areas of the Northwest Pacific and South Asia, providing a relevant setting to identify the “typhoon shock–capital formation–macroeconomic performance” transmission mechanism.</w:t>
      </w:r>
      <w:r>
        <w:rPr>
          <w:rFonts w:hint="eastAsia" w:cs="Times New Roman"/>
          <w:color w:val="000000"/>
          <w:lang w:val="en-US" w:eastAsia="zh-CN"/>
        </w:rPr>
        <w:t xml:space="preserve"> </w:t>
      </w:r>
      <w:r>
        <w:rPr>
          <w:rFonts w:eastAsia="宋体" w:cs="Times New Roman"/>
          <w:spacing w:val="-2"/>
          <w:lang w:val="en-US" w:eastAsia="zh-CN"/>
        </w:rPr>
        <w:t xml:space="preserve">Variable definitions, measurement, and data sources are reported in Table </w:t>
      </w:r>
      <w:r>
        <w:rPr>
          <w:rFonts w:hint="eastAsia" w:eastAsia="宋体" w:cs="Times New Roman"/>
          <w:spacing w:val="-2"/>
          <w:lang w:val="en-US" w:eastAsia="zh-CN"/>
        </w:rPr>
        <w:t>2</w:t>
      </w:r>
      <w:r>
        <w:rPr>
          <w:rFonts w:eastAsia="宋体" w:cs="Times New Roman"/>
          <w:spacing w:val="-2"/>
          <w:lang w:val="en-US" w:eastAsia="zh-CN"/>
        </w:rPr>
        <w:t>.</w:t>
      </w:r>
    </w:p>
    <w:p w14:paraId="4BE80B17">
      <w:pPr>
        <w:pStyle w:val="7"/>
        <w:rPr>
          <w:rFonts w:hint="default" w:ascii="Times New Roman Italic" w:hAnsi="Times New Roman Italic" w:eastAsia="宋体" w:cs="Times New Roman Italic"/>
          <w:i/>
          <w:iCs/>
          <w:lang w:eastAsia="zh-CN"/>
        </w:rPr>
      </w:pPr>
      <w:bookmarkStart w:id="70" w:name="OLE_LINK44"/>
      <w:r>
        <w:rPr>
          <w:rFonts w:hint="default" w:ascii="Times New Roman Italic" w:hAnsi="Times New Roman Italic" w:cs="Times New Roman Italic"/>
          <w:i/>
          <w:iCs/>
        </w:rPr>
        <w:t xml:space="preserve">Table </w:t>
      </w:r>
      <w:r>
        <w:rPr>
          <w:rFonts w:hint="default" w:ascii="Times New Roman Italic" w:hAnsi="Times New Roman Italic" w:cs="Times New Roman Italic"/>
          <w:i/>
          <w:iCs/>
        </w:rPr>
        <w:fldChar w:fldCharType="begin"/>
      </w:r>
      <w:r>
        <w:rPr>
          <w:rFonts w:hint="default" w:ascii="Times New Roman Italic" w:hAnsi="Times New Roman Italic" w:cs="Times New Roman Italic"/>
          <w:i/>
          <w:iCs/>
        </w:rPr>
        <w:instrText xml:space="preserve"> SEQ Table \* ARABIC </w:instrText>
      </w:r>
      <w:r>
        <w:rPr>
          <w:rFonts w:hint="default" w:ascii="Times New Roman Italic" w:hAnsi="Times New Roman Italic" w:cs="Times New Roman Italic"/>
          <w:i/>
          <w:iCs/>
        </w:rPr>
        <w:fldChar w:fldCharType="separate"/>
      </w:r>
      <w:r>
        <w:rPr>
          <w:rFonts w:hint="default" w:ascii="Times New Roman Italic" w:hAnsi="Times New Roman Italic" w:cs="Times New Roman Italic"/>
          <w:i/>
          <w:iCs/>
        </w:rPr>
        <w:t>2</w:t>
      </w:r>
      <w:r>
        <w:rPr>
          <w:rFonts w:hint="default" w:ascii="Times New Roman Italic" w:hAnsi="Times New Roman Italic" w:cs="Times New Roman Italic"/>
          <w:i/>
          <w:iCs/>
        </w:rPr>
        <w:fldChar w:fldCharType="end"/>
      </w:r>
      <w:r>
        <w:rPr>
          <w:rFonts w:hint="default" w:ascii="Times New Roman Italic" w:hAnsi="Times New Roman Italic" w:cs="Times New Roman Italic"/>
          <w:i/>
          <w:iCs/>
          <w:lang w:eastAsia="zh-CN"/>
        </w:rPr>
        <w:t xml:space="preserve"> Definition and Measurement of Variables</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3"/>
        <w:gridCol w:w="1710"/>
        <w:gridCol w:w="2134"/>
        <w:gridCol w:w="1643"/>
      </w:tblGrid>
      <w:tr w14:paraId="0346B516">
        <w:trPr>
          <w:jc w:val="center"/>
        </w:trPr>
        <w:tc>
          <w:tcPr>
            <w:tcW w:w="1403" w:type="dxa"/>
          </w:tcPr>
          <w:p w14:paraId="57DD7F5A">
            <w:pPr>
              <w:jc w:val="center"/>
              <w:rPr>
                <w:rFonts w:cs="Times New Roman"/>
                <w:color w:val="000000"/>
                <w:sz w:val="20"/>
                <w:szCs w:val="20"/>
              </w:rPr>
            </w:pPr>
            <w:r>
              <w:rPr>
                <w:rFonts w:cs="Times New Roman"/>
                <w:color w:val="000000"/>
                <w:sz w:val="20"/>
                <w:szCs w:val="20"/>
              </w:rPr>
              <w:t>Variable Category</w:t>
            </w:r>
          </w:p>
        </w:tc>
        <w:tc>
          <w:tcPr>
            <w:tcW w:w="1710" w:type="dxa"/>
          </w:tcPr>
          <w:p w14:paraId="676B744A">
            <w:pPr>
              <w:jc w:val="center"/>
              <w:rPr>
                <w:rFonts w:cs="Times New Roman"/>
                <w:color w:val="000000"/>
                <w:sz w:val="20"/>
                <w:szCs w:val="20"/>
              </w:rPr>
            </w:pPr>
            <w:r>
              <w:rPr>
                <w:rFonts w:cs="Times New Roman"/>
                <w:color w:val="000000"/>
                <w:sz w:val="20"/>
                <w:szCs w:val="20"/>
              </w:rPr>
              <w:t>Variable Name</w:t>
            </w:r>
          </w:p>
        </w:tc>
        <w:tc>
          <w:tcPr>
            <w:tcW w:w="2134" w:type="dxa"/>
          </w:tcPr>
          <w:p w14:paraId="2059177F">
            <w:pPr>
              <w:jc w:val="center"/>
              <w:rPr>
                <w:rFonts w:cs="Times New Roman"/>
                <w:color w:val="000000"/>
                <w:sz w:val="20"/>
                <w:szCs w:val="20"/>
              </w:rPr>
            </w:pPr>
            <w:r>
              <w:rPr>
                <w:rFonts w:cs="Times New Roman"/>
                <w:color w:val="000000"/>
                <w:sz w:val="20"/>
                <w:szCs w:val="20"/>
              </w:rPr>
              <w:t>Measurement / Unit</w:t>
            </w:r>
          </w:p>
        </w:tc>
        <w:tc>
          <w:tcPr>
            <w:tcW w:w="1643" w:type="dxa"/>
          </w:tcPr>
          <w:p w14:paraId="14E72A19">
            <w:pPr>
              <w:jc w:val="center"/>
              <w:rPr>
                <w:rFonts w:cs="Times New Roman"/>
                <w:color w:val="000000"/>
                <w:sz w:val="20"/>
                <w:szCs w:val="20"/>
              </w:rPr>
            </w:pPr>
            <w:r>
              <w:rPr>
                <w:rFonts w:cs="Times New Roman"/>
                <w:color w:val="000000"/>
                <w:sz w:val="20"/>
                <w:szCs w:val="20"/>
              </w:rPr>
              <w:t>Data Source</w:t>
            </w:r>
          </w:p>
        </w:tc>
      </w:tr>
      <w:tr w14:paraId="1F451EE2">
        <w:trPr>
          <w:jc w:val="center"/>
        </w:trPr>
        <w:tc>
          <w:tcPr>
            <w:tcW w:w="1403" w:type="dxa"/>
          </w:tcPr>
          <w:p w14:paraId="4A9DC2B7">
            <w:pPr>
              <w:jc w:val="center"/>
              <w:rPr>
                <w:rFonts w:cs="Times New Roman"/>
                <w:color w:val="000000"/>
                <w:sz w:val="20"/>
                <w:szCs w:val="20"/>
              </w:rPr>
            </w:pPr>
            <w:r>
              <w:rPr>
                <w:rFonts w:cs="Times New Roman"/>
                <w:color w:val="000000"/>
                <w:sz w:val="20"/>
                <w:szCs w:val="20"/>
              </w:rPr>
              <w:t>Independent Variable</w:t>
            </w:r>
          </w:p>
        </w:tc>
        <w:tc>
          <w:tcPr>
            <w:tcW w:w="1710" w:type="dxa"/>
          </w:tcPr>
          <w:p w14:paraId="2143C964">
            <w:pPr>
              <w:jc w:val="center"/>
              <w:rPr>
                <w:rFonts w:cs="Times New Roman"/>
                <w:color w:val="000000"/>
                <w:sz w:val="20"/>
                <w:szCs w:val="20"/>
              </w:rPr>
            </w:pPr>
            <w:r>
              <w:rPr>
                <w:rFonts w:cs="Times New Roman"/>
                <w:color w:val="000000"/>
                <w:sz w:val="20"/>
                <w:szCs w:val="20"/>
              </w:rPr>
              <w:t>Typhoon Disasters</w:t>
            </w:r>
          </w:p>
        </w:tc>
        <w:tc>
          <w:tcPr>
            <w:tcW w:w="2134" w:type="dxa"/>
          </w:tcPr>
          <w:p w14:paraId="4091C2D1">
            <w:pPr>
              <w:jc w:val="center"/>
              <w:rPr>
                <w:rFonts w:cs="Times New Roman"/>
                <w:color w:val="000000"/>
                <w:sz w:val="20"/>
                <w:szCs w:val="20"/>
              </w:rPr>
            </w:pPr>
            <w:r>
              <w:rPr>
                <w:rFonts w:cs="Times New Roman"/>
                <w:color w:val="000000"/>
                <w:sz w:val="20"/>
                <w:szCs w:val="20"/>
              </w:rPr>
              <w:t>Agricultural Exposure-Adjusted Typhoon Intensity Index</w:t>
            </w:r>
          </w:p>
        </w:tc>
        <w:tc>
          <w:tcPr>
            <w:tcW w:w="1643" w:type="dxa"/>
          </w:tcPr>
          <w:p w14:paraId="32EB9C53">
            <w:pPr>
              <w:jc w:val="center"/>
              <w:rPr>
                <w:rFonts w:cs="Times New Roman"/>
                <w:color w:val="000000"/>
                <w:sz w:val="20"/>
                <w:szCs w:val="20"/>
              </w:rPr>
            </w:pPr>
            <w:r>
              <w:rPr>
                <w:rFonts w:cs="Times New Roman"/>
                <w:color w:val="000000"/>
                <w:sz w:val="20"/>
                <w:szCs w:val="20"/>
              </w:rPr>
              <w:t>EM-DAT/</w:t>
            </w:r>
            <w:r>
              <w:rPr>
                <w:rFonts w:cs="Times New Roman"/>
                <w:sz w:val="20"/>
                <w:szCs w:val="20"/>
              </w:rPr>
              <w:t xml:space="preserve"> </w:t>
            </w:r>
            <w:bookmarkStart w:id="71" w:name="OLE_LINK37"/>
            <w:bookmarkStart w:id="72" w:name="OLE_LINK42"/>
            <w:r>
              <w:rPr>
                <w:rFonts w:cs="Times New Roman"/>
                <w:color w:val="000000"/>
                <w:sz w:val="20"/>
                <w:szCs w:val="20"/>
              </w:rPr>
              <w:t>National Centers for</w:t>
            </w:r>
          </w:p>
          <w:p w14:paraId="13D8F22C">
            <w:pPr>
              <w:jc w:val="center"/>
              <w:rPr>
                <w:rFonts w:cs="Times New Roman"/>
                <w:color w:val="000000"/>
                <w:sz w:val="20"/>
                <w:szCs w:val="20"/>
              </w:rPr>
            </w:pPr>
            <w:r>
              <w:rPr>
                <w:rFonts w:cs="Times New Roman"/>
                <w:color w:val="000000"/>
                <w:sz w:val="20"/>
                <w:szCs w:val="20"/>
              </w:rPr>
              <w:t>Environmental Informatio</w:t>
            </w:r>
            <w:bookmarkEnd w:id="71"/>
            <w:r>
              <w:rPr>
                <w:rFonts w:cs="Times New Roman"/>
                <w:color w:val="000000"/>
                <w:sz w:val="20"/>
                <w:szCs w:val="20"/>
              </w:rPr>
              <w:t>n</w:t>
            </w:r>
          </w:p>
          <w:bookmarkEnd w:id="72"/>
          <w:p w14:paraId="04CF498B">
            <w:pPr>
              <w:jc w:val="center"/>
              <w:rPr>
                <w:rFonts w:cs="Times New Roman"/>
                <w:color w:val="000000"/>
                <w:sz w:val="20"/>
                <w:szCs w:val="20"/>
              </w:rPr>
            </w:pPr>
          </w:p>
        </w:tc>
      </w:tr>
      <w:tr w14:paraId="27864A2A">
        <w:trPr>
          <w:jc w:val="center"/>
        </w:trPr>
        <w:tc>
          <w:tcPr>
            <w:tcW w:w="1403" w:type="dxa"/>
          </w:tcPr>
          <w:p w14:paraId="39BE7F38">
            <w:pPr>
              <w:jc w:val="center"/>
              <w:rPr>
                <w:rFonts w:cs="Times New Roman"/>
                <w:color w:val="000000"/>
                <w:sz w:val="20"/>
                <w:szCs w:val="20"/>
              </w:rPr>
            </w:pPr>
            <w:r>
              <w:rPr>
                <w:rFonts w:cs="Times New Roman"/>
                <w:color w:val="000000"/>
                <w:sz w:val="20"/>
                <w:szCs w:val="20"/>
              </w:rPr>
              <w:t>Mediating Variable</w:t>
            </w:r>
          </w:p>
        </w:tc>
        <w:tc>
          <w:tcPr>
            <w:tcW w:w="1710" w:type="dxa"/>
          </w:tcPr>
          <w:p w14:paraId="5C236D3F">
            <w:pPr>
              <w:jc w:val="center"/>
              <w:rPr>
                <w:rFonts w:cs="Times New Roman"/>
                <w:color w:val="000000"/>
                <w:sz w:val="20"/>
                <w:szCs w:val="20"/>
              </w:rPr>
            </w:pPr>
            <w:r>
              <w:rPr>
                <w:rFonts w:cs="Times New Roman"/>
                <w:color w:val="000000"/>
                <w:sz w:val="20"/>
                <w:szCs w:val="20"/>
              </w:rPr>
              <w:t>Gross Capital Formation</w:t>
            </w:r>
          </w:p>
        </w:tc>
        <w:tc>
          <w:tcPr>
            <w:tcW w:w="2134" w:type="dxa"/>
          </w:tcPr>
          <w:p w14:paraId="5622E4EC">
            <w:pPr>
              <w:jc w:val="center"/>
              <w:rPr>
                <w:rFonts w:cs="Times New Roman"/>
                <w:color w:val="000000"/>
                <w:sz w:val="20"/>
                <w:szCs w:val="20"/>
              </w:rPr>
            </w:pPr>
            <w:r>
              <w:rPr>
                <w:rFonts w:cs="Times New Roman"/>
                <w:color w:val="000000"/>
                <w:sz w:val="20"/>
                <w:szCs w:val="20"/>
              </w:rPr>
              <w:t>GCF (% of GDP)</w:t>
            </w:r>
          </w:p>
        </w:tc>
        <w:tc>
          <w:tcPr>
            <w:tcW w:w="1643" w:type="dxa"/>
          </w:tcPr>
          <w:p w14:paraId="13B5262D">
            <w:pPr>
              <w:jc w:val="center"/>
              <w:rPr>
                <w:rFonts w:cs="Times New Roman"/>
                <w:color w:val="000000"/>
                <w:sz w:val="20"/>
                <w:szCs w:val="20"/>
              </w:rPr>
            </w:pPr>
            <w:r>
              <w:rPr>
                <w:rFonts w:cs="Times New Roman"/>
                <w:color w:val="000000"/>
                <w:sz w:val="20"/>
                <w:szCs w:val="20"/>
              </w:rPr>
              <w:t>World Bank</w:t>
            </w:r>
          </w:p>
        </w:tc>
      </w:tr>
      <w:tr w14:paraId="070E1070">
        <w:trPr>
          <w:jc w:val="center"/>
        </w:trPr>
        <w:tc>
          <w:tcPr>
            <w:tcW w:w="1403" w:type="dxa"/>
          </w:tcPr>
          <w:p w14:paraId="65D8017A">
            <w:pPr>
              <w:jc w:val="center"/>
              <w:rPr>
                <w:rFonts w:cs="Times New Roman"/>
                <w:color w:val="000000"/>
                <w:sz w:val="20"/>
                <w:szCs w:val="20"/>
              </w:rPr>
            </w:pPr>
            <w:r>
              <w:rPr>
                <w:rFonts w:cs="Times New Roman"/>
                <w:color w:val="000000"/>
                <w:sz w:val="20"/>
                <w:szCs w:val="20"/>
              </w:rPr>
              <w:t>Dependent Variable</w:t>
            </w:r>
          </w:p>
        </w:tc>
        <w:tc>
          <w:tcPr>
            <w:tcW w:w="1710" w:type="dxa"/>
          </w:tcPr>
          <w:p w14:paraId="2ABD8574">
            <w:pPr>
              <w:jc w:val="center"/>
              <w:rPr>
                <w:rFonts w:cs="Times New Roman"/>
                <w:color w:val="000000"/>
                <w:sz w:val="20"/>
                <w:szCs w:val="20"/>
              </w:rPr>
            </w:pPr>
            <w:r>
              <w:rPr>
                <w:rFonts w:cs="Times New Roman"/>
                <w:color w:val="000000"/>
                <w:sz w:val="20"/>
                <w:szCs w:val="20"/>
              </w:rPr>
              <w:t>GDP Growth</w:t>
            </w:r>
          </w:p>
        </w:tc>
        <w:tc>
          <w:tcPr>
            <w:tcW w:w="2134" w:type="dxa"/>
          </w:tcPr>
          <w:p w14:paraId="43B58EB4">
            <w:pPr>
              <w:jc w:val="center"/>
              <w:rPr>
                <w:rFonts w:cs="Times New Roman"/>
                <w:color w:val="000000"/>
                <w:sz w:val="20"/>
                <w:szCs w:val="20"/>
              </w:rPr>
            </w:pPr>
            <w:r>
              <w:rPr>
                <w:rFonts w:cs="Times New Roman"/>
                <w:color w:val="000000"/>
                <w:sz w:val="20"/>
                <w:szCs w:val="20"/>
              </w:rPr>
              <w:t>GDP growth (annual %)</w:t>
            </w:r>
          </w:p>
        </w:tc>
        <w:tc>
          <w:tcPr>
            <w:tcW w:w="1643" w:type="dxa"/>
          </w:tcPr>
          <w:p w14:paraId="273067E2">
            <w:pPr>
              <w:jc w:val="center"/>
              <w:rPr>
                <w:rFonts w:cs="Times New Roman"/>
                <w:color w:val="000000"/>
                <w:sz w:val="20"/>
                <w:szCs w:val="20"/>
              </w:rPr>
            </w:pPr>
            <w:r>
              <w:rPr>
                <w:rFonts w:cs="Times New Roman"/>
                <w:color w:val="000000"/>
                <w:sz w:val="20"/>
                <w:szCs w:val="20"/>
              </w:rPr>
              <w:t>World Bank</w:t>
            </w:r>
          </w:p>
        </w:tc>
      </w:tr>
      <w:tr w14:paraId="5D3EBC3A">
        <w:trPr>
          <w:jc w:val="center"/>
        </w:trPr>
        <w:tc>
          <w:tcPr>
            <w:tcW w:w="1403" w:type="dxa"/>
          </w:tcPr>
          <w:p w14:paraId="4199492B">
            <w:pPr>
              <w:jc w:val="center"/>
              <w:rPr>
                <w:rFonts w:cs="Times New Roman"/>
                <w:color w:val="000000"/>
                <w:sz w:val="20"/>
                <w:szCs w:val="20"/>
              </w:rPr>
            </w:pPr>
            <w:r>
              <w:rPr>
                <w:rFonts w:cs="Times New Roman"/>
                <w:color w:val="000000"/>
                <w:sz w:val="20"/>
                <w:szCs w:val="20"/>
              </w:rPr>
              <w:t>Dependent Variable</w:t>
            </w:r>
          </w:p>
        </w:tc>
        <w:tc>
          <w:tcPr>
            <w:tcW w:w="1710" w:type="dxa"/>
          </w:tcPr>
          <w:p w14:paraId="3098BE1B">
            <w:pPr>
              <w:jc w:val="center"/>
              <w:rPr>
                <w:rFonts w:cs="Times New Roman"/>
                <w:color w:val="000000"/>
                <w:sz w:val="20"/>
                <w:szCs w:val="20"/>
              </w:rPr>
            </w:pPr>
            <w:r>
              <w:rPr>
                <w:rFonts w:cs="Times New Roman"/>
                <w:color w:val="000000"/>
                <w:sz w:val="20"/>
                <w:szCs w:val="20"/>
              </w:rPr>
              <w:t>Unemployment Rate</w:t>
            </w:r>
          </w:p>
        </w:tc>
        <w:tc>
          <w:tcPr>
            <w:tcW w:w="2134" w:type="dxa"/>
          </w:tcPr>
          <w:p w14:paraId="6EC1D039">
            <w:pPr>
              <w:jc w:val="center"/>
              <w:rPr>
                <w:rFonts w:cs="Times New Roman"/>
                <w:color w:val="000000"/>
                <w:sz w:val="20"/>
                <w:szCs w:val="20"/>
              </w:rPr>
            </w:pPr>
            <w:r>
              <w:rPr>
                <w:rFonts w:cs="Times New Roman"/>
                <w:color w:val="000000"/>
                <w:sz w:val="20"/>
                <w:szCs w:val="20"/>
              </w:rPr>
              <w:t>Unemployment rate (%)</w:t>
            </w:r>
          </w:p>
        </w:tc>
        <w:tc>
          <w:tcPr>
            <w:tcW w:w="1643" w:type="dxa"/>
          </w:tcPr>
          <w:p w14:paraId="1C5E0050">
            <w:pPr>
              <w:jc w:val="center"/>
              <w:rPr>
                <w:rFonts w:cs="Times New Roman"/>
                <w:color w:val="000000"/>
                <w:sz w:val="20"/>
                <w:szCs w:val="20"/>
              </w:rPr>
            </w:pPr>
            <w:r>
              <w:rPr>
                <w:rFonts w:cs="Times New Roman"/>
                <w:color w:val="000000"/>
                <w:sz w:val="20"/>
                <w:szCs w:val="20"/>
              </w:rPr>
              <w:t>World Bank</w:t>
            </w:r>
          </w:p>
        </w:tc>
      </w:tr>
      <w:tr w14:paraId="6027822A">
        <w:trPr>
          <w:jc w:val="center"/>
        </w:trPr>
        <w:tc>
          <w:tcPr>
            <w:tcW w:w="1403" w:type="dxa"/>
          </w:tcPr>
          <w:p w14:paraId="4AC7DBA1">
            <w:pPr>
              <w:jc w:val="center"/>
              <w:rPr>
                <w:rFonts w:cs="Times New Roman"/>
                <w:color w:val="000000"/>
                <w:sz w:val="20"/>
                <w:szCs w:val="20"/>
              </w:rPr>
            </w:pPr>
            <w:r>
              <w:rPr>
                <w:rFonts w:cs="Times New Roman"/>
                <w:color w:val="000000"/>
                <w:sz w:val="20"/>
                <w:szCs w:val="20"/>
              </w:rPr>
              <w:t>Dependent Variable</w:t>
            </w:r>
          </w:p>
        </w:tc>
        <w:tc>
          <w:tcPr>
            <w:tcW w:w="1710" w:type="dxa"/>
          </w:tcPr>
          <w:p w14:paraId="7041922B">
            <w:pPr>
              <w:jc w:val="center"/>
              <w:rPr>
                <w:rFonts w:cs="Times New Roman"/>
                <w:color w:val="000000"/>
                <w:sz w:val="20"/>
                <w:szCs w:val="20"/>
              </w:rPr>
            </w:pPr>
            <w:r>
              <w:rPr>
                <w:rFonts w:cs="Times New Roman"/>
                <w:color w:val="000000"/>
                <w:sz w:val="20"/>
                <w:szCs w:val="20"/>
              </w:rPr>
              <w:t>Agriculture Growth</w:t>
            </w:r>
          </w:p>
        </w:tc>
        <w:tc>
          <w:tcPr>
            <w:tcW w:w="2134" w:type="dxa"/>
          </w:tcPr>
          <w:p w14:paraId="1E915DEE">
            <w:pPr>
              <w:jc w:val="center"/>
              <w:rPr>
                <w:rFonts w:cs="Times New Roman"/>
                <w:color w:val="000000"/>
                <w:sz w:val="20"/>
                <w:szCs w:val="20"/>
              </w:rPr>
            </w:pPr>
            <w:r>
              <w:rPr>
                <w:rFonts w:cs="Times New Roman"/>
                <w:color w:val="000000"/>
                <w:sz w:val="20"/>
                <w:szCs w:val="20"/>
              </w:rPr>
              <w:t>Agriculture growth (annual %)</w:t>
            </w:r>
          </w:p>
        </w:tc>
        <w:tc>
          <w:tcPr>
            <w:tcW w:w="1643" w:type="dxa"/>
          </w:tcPr>
          <w:p w14:paraId="49CD32ED">
            <w:pPr>
              <w:jc w:val="center"/>
              <w:rPr>
                <w:rFonts w:cs="Times New Roman"/>
                <w:color w:val="000000"/>
                <w:sz w:val="20"/>
                <w:szCs w:val="20"/>
              </w:rPr>
            </w:pPr>
            <w:r>
              <w:rPr>
                <w:rFonts w:cs="Times New Roman"/>
                <w:color w:val="000000"/>
                <w:sz w:val="20"/>
                <w:szCs w:val="20"/>
              </w:rPr>
              <w:t>World Bank</w:t>
            </w:r>
          </w:p>
        </w:tc>
      </w:tr>
      <w:tr w14:paraId="7829CE44">
        <w:trPr>
          <w:jc w:val="center"/>
        </w:trPr>
        <w:tc>
          <w:tcPr>
            <w:tcW w:w="1403" w:type="dxa"/>
          </w:tcPr>
          <w:p w14:paraId="66B97DD1">
            <w:pPr>
              <w:jc w:val="center"/>
              <w:rPr>
                <w:rFonts w:cs="Times New Roman"/>
                <w:color w:val="000000"/>
                <w:sz w:val="20"/>
                <w:szCs w:val="20"/>
              </w:rPr>
            </w:pPr>
            <w:r>
              <w:rPr>
                <w:rFonts w:cs="Times New Roman"/>
                <w:color w:val="000000"/>
                <w:sz w:val="20"/>
                <w:szCs w:val="20"/>
              </w:rPr>
              <w:t>Dependent Variable</w:t>
            </w:r>
          </w:p>
        </w:tc>
        <w:tc>
          <w:tcPr>
            <w:tcW w:w="1710" w:type="dxa"/>
          </w:tcPr>
          <w:p w14:paraId="751C9EBA">
            <w:pPr>
              <w:jc w:val="center"/>
              <w:rPr>
                <w:rFonts w:cs="Times New Roman"/>
                <w:color w:val="000000"/>
                <w:sz w:val="20"/>
                <w:szCs w:val="20"/>
              </w:rPr>
            </w:pPr>
            <w:r>
              <w:rPr>
                <w:rFonts w:cs="Times New Roman"/>
                <w:color w:val="000000"/>
                <w:sz w:val="20"/>
                <w:szCs w:val="20"/>
              </w:rPr>
              <w:t>FDI Inflow</w:t>
            </w:r>
          </w:p>
        </w:tc>
        <w:tc>
          <w:tcPr>
            <w:tcW w:w="2134" w:type="dxa"/>
          </w:tcPr>
          <w:p w14:paraId="660243AC">
            <w:pPr>
              <w:jc w:val="center"/>
              <w:rPr>
                <w:rFonts w:cs="Times New Roman"/>
                <w:color w:val="000000"/>
                <w:sz w:val="20"/>
                <w:szCs w:val="20"/>
              </w:rPr>
            </w:pPr>
            <w:r>
              <w:rPr>
                <w:rFonts w:cs="Times New Roman"/>
                <w:color w:val="000000"/>
                <w:sz w:val="20"/>
                <w:szCs w:val="20"/>
              </w:rPr>
              <w:t>FDI net inflow (% of GDP)</w:t>
            </w:r>
          </w:p>
        </w:tc>
        <w:tc>
          <w:tcPr>
            <w:tcW w:w="1643" w:type="dxa"/>
          </w:tcPr>
          <w:p w14:paraId="7FEB124B">
            <w:pPr>
              <w:jc w:val="center"/>
              <w:rPr>
                <w:rFonts w:cs="Times New Roman"/>
                <w:color w:val="000000"/>
                <w:sz w:val="20"/>
                <w:szCs w:val="20"/>
              </w:rPr>
            </w:pPr>
            <w:r>
              <w:rPr>
                <w:rFonts w:cs="Times New Roman"/>
                <w:color w:val="000000"/>
                <w:sz w:val="20"/>
                <w:szCs w:val="20"/>
              </w:rPr>
              <w:t>World Bank</w:t>
            </w:r>
          </w:p>
        </w:tc>
      </w:tr>
      <w:tr w14:paraId="3B98910D">
        <w:trPr>
          <w:jc w:val="center"/>
        </w:trPr>
        <w:tc>
          <w:tcPr>
            <w:tcW w:w="1403" w:type="dxa"/>
          </w:tcPr>
          <w:p w14:paraId="76DAECAD">
            <w:pPr>
              <w:jc w:val="center"/>
              <w:rPr>
                <w:rFonts w:cs="Times New Roman"/>
                <w:color w:val="000000"/>
                <w:sz w:val="20"/>
                <w:szCs w:val="20"/>
              </w:rPr>
            </w:pPr>
            <w:r>
              <w:rPr>
                <w:rFonts w:cs="Times New Roman"/>
                <w:color w:val="000000"/>
                <w:sz w:val="20"/>
                <w:szCs w:val="20"/>
              </w:rPr>
              <w:t>Dependent Variable</w:t>
            </w:r>
          </w:p>
        </w:tc>
        <w:tc>
          <w:tcPr>
            <w:tcW w:w="1710" w:type="dxa"/>
          </w:tcPr>
          <w:p w14:paraId="47B6B14B">
            <w:pPr>
              <w:jc w:val="center"/>
              <w:rPr>
                <w:rFonts w:cs="Times New Roman"/>
                <w:color w:val="000000"/>
                <w:sz w:val="20"/>
                <w:szCs w:val="20"/>
              </w:rPr>
            </w:pPr>
            <w:r>
              <w:rPr>
                <w:rFonts w:cs="Times New Roman"/>
                <w:color w:val="000000"/>
                <w:sz w:val="20"/>
                <w:szCs w:val="20"/>
              </w:rPr>
              <w:t>Inflation</w:t>
            </w:r>
          </w:p>
        </w:tc>
        <w:tc>
          <w:tcPr>
            <w:tcW w:w="2134" w:type="dxa"/>
          </w:tcPr>
          <w:p w14:paraId="46BC5B3E">
            <w:pPr>
              <w:jc w:val="center"/>
              <w:rPr>
                <w:rFonts w:cs="Times New Roman"/>
                <w:color w:val="000000"/>
                <w:sz w:val="20"/>
                <w:szCs w:val="20"/>
              </w:rPr>
            </w:pPr>
            <w:r>
              <w:rPr>
                <w:rFonts w:cs="Times New Roman"/>
                <w:color w:val="000000"/>
                <w:sz w:val="20"/>
                <w:szCs w:val="20"/>
              </w:rPr>
              <w:t>Inflation rate (annual %, CPI)</w:t>
            </w:r>
          </w:p>
        </w:tc>
        <w:tc>
          <w:tcPr>
            <w:tcW w:w="1643" w:type="dxa"/>
          </w:tcPr>
          <w:p w14:paraId="430540ED">
            <w:pPr>
              <w:jc w:val="center"/>
              <w:rPr>
                <w:rFonts w:cs="Times New Roman"/>
                <w:color w:val="000000"/>
                <w:sz w:val="20"/>
                <w:szCs w:val="20"/>
              </w:rPr>
            </w:pPr>
            <w:r>
              <w:rPr>
                <w:rFonts w:cs="Times New Roman"/>
                <w:color w:val="000000"/>
                <w:sz w:val="20"/>
                <w:szCs w:val="20"/>
              </w:rPr>
              <w:t>World Bank</w:t>
            </w:r>
          </w:p>
        </w:tc>
      </w:tr>
      <w:tr w14:paraId="420D785C">
        <w:trPr>
          <w:jc w:val="center"/>
        </w:trPr>
        <w:tc>
          <w:tcPr>
            <w:tcW w:w="1403" w:type="dxa"/>
          </w:tcPr>
          <w:p w14:paraId="6701681A">
            <w:pPr>
              <w:jc w:val="center"/>
              <w:rPr>
                <w:rFonts w:cs="Times New Roman"/>
                <w:color w:val="000000"/>
                <w:sz w:val="20"/>
                <w:szCs w:val="20"/>
              </w:rPr>
            </w:pPr>
            <w:r>
              <w:rPr>
                <w:rFonts w:cs="Times New Roman"/>
                <w:color w:val="000000"/>
                <w:sz w:val="20"/>
                <w:szCs w:val="20"/>
              </w:rPr>
              <w:t>Control Variable</w:t>
            </w:r>
          </w:p>
        </w:tc>
        <w:tc>
          <w:tcPr>
            <w:tcW w:w="1710" w:type="dxa"/>
          </w:tcPr>
          <w:p w14:paraId="3C03991E">
            <w:pPr>
              <w:jc w:val="center"/>
              <w:rPr>
                <w:rFonts w:cs="Times New Roman"/>
                <w:color w:val="000000"/>
                <w:sz w:val="20"/>
                <w:szCs w:val="20"/>
              </w:rPr>
            </w:pPr>
            <w:r>
              <w:rPr>
                <w:rFonts w:cs="Times New Roman"/>
                <w:color w:val="000000"/>
                <w:sz w:val="20"/>
                <w:szCs w:val="20"/>
              </w:rPr>
              <w:t>Population Growth Rate</w:t>
            </w:r>
          </w:p>
        </w:tc>
        <w:tc>
          <w:tcPr>
            <w:tcW w:w="2134" w:type="dxa"/>
          </w:tcPr>
          <w:p w14:paraId="7115EE69">
            <w:pPr>
              <w:jc w:val="center"/>
              <w:rPr>
                <w:rFonts w:cs="Times New Roman"/>
                <w:color w:val="000000"/>
                <w:sz w:val="20"/>
                <w:szCs w:val="20"/>
              </w:rPr>
            </w:pPr>
            <w:r>
              <w:rPr>
                <w:rFonts w:cs="Times New Roman"/>
                <w:color w:val="000000"/>
                <w:sz w:val="20"/>
                <w:szCs w:val="20"/>
              </w:rPr>
              <w:t>population growth (%) (Population)</w:t>
            </w:r>
          </w:p>
        </w:tc>
        <w:tc>
          <w:tcPr>
            <w:tcW w:w="1643" w:type="dxa"/>
          </w:tcPr>
          <w:p w14:paraId="71681C2A">
            <w:pPr>
              <w:jc w:val="center"/>
              <w:rPr>
                <w:rFonts w:cs="Times New Roman"/>
                <w:color w:val="000000"/>
                <w:sz w:val="20"/>
                <w:szCs w:val="20"/>
              </w:rPr>
            </w:pPr>
            <w:r>
              <w:rPr>
                <w:rFonts w:cs="Times New Roman"/>
                <w:color w:val="000000"/>
                <w:sz w:val="20"/>
                <w:szCs w:val="20"/>
              </w:rPr>
              <w:t>World Bank</w:t>
            </w:r>
          </w:p>
        </w:tc>
      </w:tr>
      <w:tr w14:paraId="7B2E2F7D">
        <w:trPr>
          <w:jc w:val="center"/>
        </w:trPr>
        <w:tc>
          <w:tcPr>
            <w:tcW w:w="1403" w:type="dxa"/>
          </w:tcPr>
          <w:p w14:paraId="19CF3A11">
            <w:pPr>
              <w:jc w:val="center"/>
              <w:rPr>
                <w:rFonts w:cs="Times New Roman"/>
                <w:color w:val="000000"/>
                <w:sz w:val="20"/>
                <w:szCs w:val="20"/>
              </w:rPr>
            </w:pPr>
            <w:r>
              <w:rPr>
                <w:rFonts w:cs="Times New Roman"/>
                <w:color w:val="000000"/>
                <w:sz w:val="20"/>
                <w:szCs w:val="20"/>
              </w:rPr>
              <w:t>Control Variable</w:t>
            </w:r>
          </w:p>
        </w:tc>
        <w:tc>
          <w:tcPr>
            <w:tcW w:w="1710" w:type="dxa"/>
          </w:tcPr>
          <w:p w14:paraId="3DF34D15">
            <w:pPr>
              <w:jc w:val="center"/>
              <w:rPr>
                <w:rFonts w:cs="Times New Roman"/>
                <w:color w:val="000000"/>
                <w:sz w:val="20"/>
                <w:szCs w:val="20"/>
              </w:rPr>
            </w:pPr>
            <w:r>
              <w:rPr>
                <w:rFonts w:cs="Times New Roman"/>
                <w:color w:val="000000"/>
                <w:sz w:val="20"/>
                <w:szCs w:val="20"/>
              </w:rPr>
              <w:t>Trade Openness</w:t>
            </w:r>
          </w:p>
        </w:tc>
        <w:tc>
          <w:tcPr>
            <w:tcW w:w="2134" w:type="dxa"/>
          </w:tcPr>
          <w:p w14:paraId="39E0ED3B">
            <w:pPr>
              <w:jc w:val="center"/>
              <w:rPr>
                <w:rFonts w:cs="Times New Roman"/>
                <w:color w:val="000000"/>
                <w:sz w:val="20"/>
                <w:szCs w:val="20"/>
              </w:rPr>
            </w:pPr>
            <w:r>
              <w:rPr>
                <w:rFonts w:cs="Times New Roman"/>
                <w:color w:val="000000"/>
                <w:sz w:val="20"/>
                <w:szCs w:val="20"/>
              </w:rPr>
              <w:t>(Exports + Imports) / GDP (%)</w:t>
            </w:r>
          </w:p>
        </w:tc>
        <w:tc>
          <w:tcPr>
            <w:tcW w:w="1643" w:type="dxa"/>
          </w:tcPr>
          <w:p w14:paraId="04F9B8AB">
            <w:pPr>
              <w:jc w:val="center"/>
              <w:rPr>
                <w:rFonts w:cs="Times New Roman"/>
                <w:color w:val="000000"/>
                <w:sz w:val="20"/>
                <w:szCs w:val="20"/>
              </w:rPr>
            </w:pPr>
            <w:r>
              <w:rPr>
                <w:rFonts w:cs="Times New Roman"/>
                <w:color w:val="000000"/>
                <w:sz w:val="20"/>
                <w:szCs w:val="20"/>
              </w:rPr>
              <w:t>World Bank</w:t>
            </w:r>
          </w:p>
        </w:tc>
      </w:tr>
      <w:tr w14:paraId="7EE244C8">
        <w:trPr>
          <w:jc w:val="center"/>
        </w:trPr>
        <w:tc>
          <w:tcPr>
            <w:tcW w:w="1403" w:type="dxa"/>
          </w:tcPr>
          <w:p w14:paraId="35E0D788">
            <w:pPr>
              <w:jc w:val="center"/>
              <w:rPr>
                <w:rFonts w:cs="Times New Roman"/>
                <w:color w:val="000000"/>
                <w:sz w:val="20"/>
                <w:szCs w:val="20"/>
              </w:rPr>
            </w:pPr>
            <w:r>
              <w:rPr>
                <w:rFonts w:cs="Times New Roman"/>
                <w:color w:val="000000"/>
                <w:sz w:val="20"/>
                <w:szCs w:val="20"/>
              </w:rPr>
              <w:t>Control Variable</w:t>
            </w:r>
          </w:p>
        </w:tc>
        <w:tc>
          <w:tcPr>
            <w:tcW w:w="1710" w:type="dxa"/>
          </w:tcPr>
          <w:p w14:paraId="0DB93F52">
            <w:pPr>
              <w:jc w:val="center"/>
              <w:rPr>
                <w:rFonts w:cs="Times New Roman"/>
                <w:color w:val="000000"/>
                <w:sz w:val="20"/>
                <w:szCs w:val="20"/>
              </w:rPr>
            </w:pPr>
            <w:r>
              <w:rPr>
                <w:rFonts w:cs="Times New Roman"/>
                <w:color w:val="000000"/>
                <w:sz w:val="20"/>
                <w:szCs w:val="20"/>
              </w:rPr>
              <w:t>Urban Population</w:t>
            </w:r>
          </w:p>
        </w:tc>
        <w:tc>
          <w:tcPr>
            <w:tcW w:w="2134" w:type="dxa"/>
          </w:tcPr>
          <w:p w14:paraId="16BEE823">
            <w:pPr>
              <w:jc w:val="center"/>
              <w:rPr>
                <w:rFonts w:cs="Times New Roman"/>
                <w:color w:val="000000"/>
                <w:sz w:val="20"/>
                <w:szCs w:val="20"/>
              </w:rPr>
            </w:pPr>
            <w:bookmarkStart w:id="73" w:name="OLE_LINK50"/>
            <w:r>
              <w:rPr>
                <w:rFonts w:cs="Times New Roman"/>
                <w:color w:val="000000"/>
                <w:sz w:val="20"/>
                <w:szCs w:val="20"/>
              </w:rPr>
              <w:t>ln (Urban population)</w:t>
            </w:r>
            <w:bookmarkEnd w:id="73"/>
          </w:p>
        </w:tc>
        <w:tc>
          <w:tcPr>
            <w:tcW w:w="1643" w:type="dxa"/>
          </w:tcPr>
          <w:p w14:paraId="34DC34CC">
            <w:pPr>
              <w:keepNext/>
              <w:jc w:val="center"/>
              <w:rPr>
                <w:rFonts w:cs="Times New Roman"/>
                <w:color w:val="000000"/>
                <w:sz w:val="20"/>
                <w:szCs w:val="20"/>
              </w:rPr>
            </w:pPr>
            <w:r>
              <w:rPr>
                <w:rFonts w:cs="Times New Roman"/>
                <w:color w:val="000000"/>
                <w:sz w:val="20"/>
                <w:szCs w:val="20"/>
              </w:rPr>
              <w:t>World Bank</w:t>
            </w:r>
          </w:p>
        </w:tc>
      </w:tr>
      <w:bookmarkEnd w:id="70"/>
    </w:tbl>
    <w:p w14:paraId="4975A238">
      <w:pPr>
        <w:pStyle w:val="31"/>
        <w:numPr>
          <w:ilvl w:val="1"/>
          <w:numId w:val="0"/>
        </w:numPr>
        <w:tabs>
          <w:tab w:val="left" w:pos="3960"/>
        </w:tabs>
        <w:spacing w:after="468"/>
        <w:rPr>
          <w:rFonts w:eastAsia="宋体" w:cs="Times New Roman"/>
          <w:spacing w:val="-2"/>
        </w:rPr>
      </w:pPr>
    </w:p>
    <w:p w14:paraId="40DD1808">
      <w:pPr>
        <w:autoSpaceDE w:val="0"/>
        <w:autoSpaceDN w:val="0"/>
        <w:spacing w:before="468" w:beforeLines="150" w:after="468" w:afterLines="150"/>
        <w:rPr>
          <w:rFonts w:cs="Times New Roman"/>
          <w:color w:val="000000"/>
        </w:rPr>
      </w:pPr>
      <w:r>
        <w:rPr>
          <w:rFonts w:cs="Times New Roman"/>
          <w:color w:val="000000"/>
        </w:rPr>
        <w:t>To examine both the direct and indirect effects of typhoon disasters on macroeconomic performance, this study constructs three core panel regression models that correspond to Hypotheses H1a–H1e, H2 and H3a–H3e:</w:t>
      </w:r>
    </w:p>
    <w:p w14:paraId="7CEFD500">
      <w:pPr>
        <w:spacing w:after="468" w:afterLines="150"/>
        <w:rPr>
          <w:rFonts w:cs="Times New Roman"/>
          <w:b/>
          <w:bCs w:val="0"/>
          <w:color w:val="000000"/>
        </w:rPr>
      </w:pPr>
      <w:r>
        <w:rPr>
          <w:rFonts w:cs="Times New Roman"/>
          <w:b/>
          <w:color w:val="000000"/>
        </w:rPr>
        <w:t xml:space="preserve">Model 1: </w:t>
      </w:r>
      <w:bookmarkStart w:id="74" w:name="OLE_LINK27"/>
      <w:r>
        <w:rPr>
          <w:rFonts w:cs="Times New Roman"/>
          <w:b/>
          <w:color w:val="000000"/>
        </w:rPr>
        <w:t>Effect of Typhoon Disasters on Macroeconomic</w:t>
      </w:r>
      <w:bookmarkEnd w:id="74"/>
      <w:r>
        <w:rPr>
          <w:rFonts w:cs="Times New Roman"/>
          <w:b/>
          <w:color w:val="000000"/>
        </w:rPr>
        <w:t xml:space="preserve"> (H1)</w:t>
      </w:r>
    </w:p>
    <w:p w14:paraId="17CB68FF">
      <w:pPr>
        <w:spacing w:after="468" w:afterLines="150"/>
        <w:rPr>
          <w:rFonts w:cs="Times New Roman"/>
          <w:color w:val="000000"/>
        </w:rPr>
      </w:pPr>
      <w:r>
        <w:rPr>
          <w:rFonts w:cs="Times New Roman"/>
          <w:color w:val="000000"/>
        </w:rPr>
        <w:t xml:space="preserve">For each macroeconomic indicator </w:t>
      </w:r>
      <m:oMath>
        <m:sSub>
          <m:sSubPr>
            <m:ctrlPr>
              <w:rPr>
                <w:rFonts w:ascii="Cambria Math" w:hAnsi="Cambria Math" w:cs="Times New Roman"/>
                <w:color w:val="000000"/>
              </w:rPr>
            </m:ctrlPr>
          </m:sSubPr>
          <m:e>
            <m:r>
              <m:rPr/>
              <w:rPr>
                <w:rFonts w:ascii="Cambria Math" w:hAnsi="Cambria Math" w:cs="Times New Roman"/>
                <w:color w:val="000000"/>
              </w:rPr>
              <m:t>Y</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oMath>
      <w:r>
        <w:rPr>
          <w:rFonts w:cs="Times New Roman"/>
          <w:color w:val="000000"/>
        </w:rPr>
        <w:t>— GDP growth, unemployment rate, agricultural growth, FDI inflows and inflation — we first estimate a baseline fixed</w:t>
      </w:r>
      <w:r>
        <w:rPr>
          <w:rFonts w:cs="Times New Roman"/>
          <w:color w:val="000000"/>
        </w:rPr>
        <w:noBreakHyphen/>
      </w:r>
      <w:r>
        <w:rPr>
          <w:rFonts w:cs="Times New Roman"/>
          <w:color w:val="000000"/>
        </w:rPr>
        <w:t>effects model of the form:</w:t>
      </w:r>
    </w:p>
    <w:p w14:paraId="7187CC2F">
      <w:pPr>
        <w:spacing w:after="468" w:afterLines="150"/>
        <w:rPr>
          <w:rFonts w:eastAsia="宋体" w:cs="Times New Roman"/>
          <w:color w:val="000000"/>
        </w:rPr>
      </w:pPr>
      <w:bookmarkStart w:id="75" w:name="OLE_LINK36"/>
      <m:oMathPara>
        <m:oMath>
          <m:sSub>
            <m:sSubPr>
              <m:ctrlPr>
                <w:rPr>
                  <w:rFonts w:ascii="Cambria Math" w:hAnsi="Cambria Math" w:cs="Times New Roman"/>
                  <w:color w:val="000000"/>
                </w:rPr>
              </m:ctrlPr>
            </m:sSubPr>
            <m:e>
              <m:r>
                <m:rPr/>
                <w:rPr>
                  <w:rFonts w:ascii="Cambria Math" w:hAnsi="Cambria Math" w:cs="Times New Roman"/>
                  <w:color w:val="000000"/>
                </w:rPr>
                <m:t>Y</m:t>
              </m:r>
              <m:ctrlPr>
                <w:rPr>
                  <w:rFonts w:ascii="Cambria Math" w:hAnsi="Cambria Math" w:cs="Times New Roman"/>
                  <w:color w:val="000000"/>
                </w:rPr>
              </m:ctrlPr>
            </m:e>
            <m:sub>
              <m:r>
                <m:rPr/>
                <w:rPr>
                  <w:rFonts w:ascii="Cambria Math" w:hAnsi="Cambria Math" w:cs="Times New Roman"/>
                  <w:color w:val="000000"/>
                </w:rPr>
                <m:t>it</m:t>
              </m:r>
              <w:bookmarkEnd w:id="75"/>
              <m:ctrlPr>
                <w:rPr>
                  <w:rFonts w:ascii="Cambria Math" w:hAnsi="Cambria Math" w:cs="Times New Roman"/>
                  <w:color w:val="000000"/>
                </w:rPr>
              </m:ctrlPr>
            </m:sub>
          </m:sSub>
          <m:r>
            <m:rPr>
              <m:sty m:val="p"/>
            </m:rPr>
            <w:rPr>
              <w:rFonts w:ascii="Cambria Math" w:hAnsi="Cambria Math" w:cs="Times New Roman"/>
              <w:color w:val="000000"/>
            </w:rPr>
            <m:t>=</m:t>
          </m:r>
          <m:r>
            <m:rPr/>
            <w:rPr>
              <w:rFonts w:ascii="Cambria Math" w:hAnsi="Cambria Math" w:cs="Times New Roman"/>
              <w:color w:val="000000"/>
            </w:rPr>
            <m:t>α</m:t>
          </m:r>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β</m:t>
              </m:r>
              <m:ctrlPr>
                <w:rPr>
                  <w:rFonts w:ascii="Cambria Math" w:hAnsi="Cambria Math" w:cs="Times New Roman"/>
                  <w:color w:val="000000"/>
                </w:rPr>
              </m:ctrlPr>
            </m:e>
            <m:sub>
              <m:r>
                <m:rPr>
                  <m:sty m:val="p"/>
                </m:rPr>
                <w:rPr>
                  <w:rFonts w:ascii="Cambria Math" w:hAnsi="Cambria Math" w:cs="Times New Roman"/>
                  <w:color w:val="000000"/>
                </w:rPr>
                <m:t>1</m:t>
              </m:r>
              <m:ctrlPr>
                <w:rPr>
                  <w:rFonts w:ascii="Cambria Math" w:hAnsi="Cambria Math" w:cs="Times New Roman"/>
                  <w:color w:val="000000"/>
                </w:rPr>
              </m:ctrlPr>
            </m:sub>
          </m:sSub>
          <m:r>
            <m:rPr>
              <m:sty m:val="p"/>
            </m:rPr>
            <w:rPr>
              <w:rFonts w:ascii="Cambria Math" w:hAnsi="Cambria Math" w:cs="Times New Roman"/>
              <w:color w:val="000000"/>
            </w:rPr>
            <m:t> </m:t>
          </m:r>
          <m:sSub>
            <m:sSubPr>
              <m:ctrlPr>
                <w:rPr>
                  <w:rFonts w:ascii="Cambria Math" w:hAnsi="Cambria Math" w:cs="Times New Roman"/>
                  <w:color w:val="000000"/>
                </w:rPr>
              </m:ctrlPr>
            </m:sSubPr>
            <m:e>
              <m:r>
                <m:rPr>
                  <m:nor/>
                  <m:sty m:val="p"/>
                </m:rPr>
                <w:rPr>
                  <w:rFonts w:cs="Times New Roman"/>
                  <w:b w:val="0"/>
                  <w:i w:val="0"/>
                  <w:color w:val="000000"/>
                </w:rPr>
                <m:t>TEI_agri</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sSup>
            <m:sSupPr>
              <m:ctrlPr>
                <w:rPr>
                  <w:rFonts w:ascii="Cambria Math" w:hAnsi="Cambria Math" w:cs="Times New Roman"/>
                  <w:color w:val="000000"/>
                </w:rPr>
              </m:ctrlPr>
            </m:sSupPr>
            <m:e>
              <m:r>
                <m:rPr/>
                <w:rPr>
                  <w:rFonts w:ascii="Cambria Math" w:hAnsi="Cambria Math" w:cs="Times New Roman"/>
                  <w:color w:val="000000"/>
                </w:rPr>
                <m:t>γ</m:t>
              </m:r>
              <m:ctrlPr>
                <w:rPr>
                  <w:rFonts w:ascii="Cambria Math" w:hAnsi="Cambria Math" w:cs="Times New Roman"/>
                  <w:color w:val="000000"/>
                </w:rPr>
              </m:ctrlPr>
            </m:e>
            <m:sup>
              <m:r>
                <m:rPr>
                  <m:sty m:val="p"/>
                </m:rPr>
                <w:rPr>
                  <w:rFonts w:ascii="Cambria Math" w:hAnsi="Cambria Math" w:cs="Times New Roman"/>
                  <w:color w:val="000000"/>
                </w:rPr>
                <m:t>'</m:t>
              </m:r>
              <m:ctrlPr>
                <w:rPr>
                  <w:rFonts w:ascii="Cambria Math" w:hAnsi="Cambria Math" w:cs="Times New Roman"/>
                  <w:color w:val="000000"/>
                </w:rPr>
              </m:ctrlPr>
            </m:sup>
          </m:sSup>
          <m:sSub>
            <w:bookmarkStart w:id="76" w:name="OLE_LINK38"/>
            <m:sSubPr>
              <m:ctrlPr>
                <w:rPr>
                  <w:rFonts w:ascii="Cambria Math" w:hAnsi="Cambria Math" w:cs="Times New Roman"/>
                  <w:color w:val="000000"/>
                </w:rPr>
              </m:ctrlPr>
            </m:sSubPr>
            <m:e>
              <m:r>
                <m:rPr/>
                <w:rPr>
                  <w:rFonts w:ascii="Cambria Math" w:hAnsi="Cambria Math" w:cs="Times New Roman"/>
                  <w:color w:val="000000"/>
                </w:rPr>
                <m:t>X</m:t>
              </m:r>
              <m:ctrlPr>
                <w:rPr>
                  <w:rFonts w:ascii="Cambria Math" w:hAnsi="Cambria Math" w:cs="Times New Roman"/>
                  <w:color w:val="000000"/>
                </w:rPr>
              </m:ctrlPr>
            </m:e>
            <m:sub>
              <m:r>
                <m:rPr/>
                <w:rPr>
                  <w:rFonts w:ascii="Cambria Math" w:hAnsi="Cambria Math" w:cs="Times New Roman"/>
                  <w:color w:val="000000"/>
                </w:rPr>
                <m:t>it</m:t>
              </m:r>
              <w:bookmarkEnd w:id="76"/>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μ</m:t>
              </m:r>
              <m:ctrlPr>
                <w:rPr>
                  <w:rFonts w:ascii="Cambria Math" w:hAnsi="Cambria Math" w:cs="Times New Roman"/>
                  <w:color w:val="000000"/>
                </w:rPr>
              </m:ctrlPr>
            </m:e>
            <m:sub>
              <m:r>
                <m:rPr/>
                <w:rPr>
                  <w:rFonts w:ascii="Cambria Math" w:hAnsi="Cambria Math" w:cs="Times New Roman"/>
                  <w:color w:val="000000"/>
                </w:rPr>
                <m:t>i</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λ</m:t>
              </m:r>
              <m:ctrlPr>
                <w:rPr>
                  <w:rFonts w:ascii="Cambria Math" w:hAnsi="Cambria Math" w:cs="Times New Roman"/>
                  <w:color w:val="000000"/>
                </w:rPr>
              </m:ctrlPr>
            </m:e>
            <m:sub>
              <m:r>
                <m:rPr/>
                <w:rPr>
                  <w:rFonts w:ascii="Cambria Math" w:hAnsi="Cambria Math" w:cs="Times New Roman"/>
                  <w:color w:val="000000"/>
                </w:rPr>
                <m:t>t</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ε</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oMath>
      </m:oMathPara>
    </w:p>
    <w:p w14:paraId="01B12735">
      <w:pPr>
        <w:spacing w:after="468" w:afterLines="150"/>
        <w:rPr>
          <w:rFonts w:eastAsia="宋体" w:cs="Times New Roman"/>
          <w:color w:val="000000"/>
        </w:rPr>
      </w:pPr>
      <w:r>
        <w:rPr>
          <w:rFonts w:cs="Times New Roman"/>
          <w:color w:val="000000"/>
        </w:rPr>
        <w:t>where </w:t>
      </w:r>
      <m:oMath>
        <m:sSub>
          <m:sSubPr>
            <m:ctrlPr>
              <w:rPr>
                <w:rFonts w:ascii="Cambria Math" w:hAnsi="Cambria Math" w:cs="Times New Roman"/>
                <w:color w:val="000000"/>
              </w:rPr>
            </m:ctrlPr>
          </m:sSubPr>
          <m:e>
            <m:r>
              <m:rPr>
                <m:nor/>
                <m:sty m:val="p"/>
              </m:rPr>
              <w:rPr>
                <w:rFonts w:cs="Times New Roman"/>
                <w:b w:val="0"/>
                <w:i w:val="0"/>
                <w:color w:val="000000"/>
              </w:rPr>
              <m:t>TEI_agri</m:t>
            </m:r>
            <m:ctrlPr>
              <w:rPr>
                <w:rFonts w:ascii="Cambria Math" w:hAnsi="Cambria Math" w:cs="Times New Roman"/>
                <w:color w:val="000000"/>
              </w:rPr>
            </m:ctrlPr>
          </m:e>
          <m:sub>
            <m:r>
              <m:rPr>
                <m:sty m:val="bi"/>
              </m:rPr>
              <w:rPr>
                <w:rFonts w:ascii="Cambria Math" w:hAnsi="Cambria Math" w:cs="Times New Roman"/>
                <w:color w:val="000000"/>
              </w:rPr>
              <m:t>it</m:t>
            </m:r>
            <m:ctrlPr>
              <w:rPr>
                <w:rFonts w:ascii="Cambria Math" w:hAnsi="Cambria Math" w:cs="Times New Roman"/>
                <w:color w:val="000000"/>
              </w:rPr>
            </m:ctrlPr>
          </m:sub>
        </m:sSub>
      </m:oMath>
      <w:r>
        <w:rPr>
          <w:rFonts w:cs="Times New Roman"/>
          <w:color w:val="000000"/>
        </w:rPr>
        <w:t xml:space="preserve">measures typhoon intensity and </w:t>
      </w:r>
      <m:oMath>
        <m:sSub>
          <m:sSubPr>
            <m:ctrlPr>
              <w:rPr>
                <w:rFonts w:ascii="Cambria Math" w:hAnsi="Cambria Math" w:cs="Times New Roman"/>
                <w:color w:val="000000"/>
              </w:rPr>
            </m:ctrlPr>
          </m:sSubPr>
          <m:e>
            <m:r>
              <m:rPr/>
              <w:rPr>
                <w:rFonts w:ascii="Cambria Math" w:hAnsi="Cambria Math" w:cs="Times New Roman"/>
                <w:color w:val="000000"/>
              </w:rPr>
              <m:t>X</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oMath>
      <w:r>
        <w:rPr>
          <w:rFonts w:cs="Times New Roman"/>
        </w:rPr>
        <w:t> </w:t>
      </w:r>
      <w:r>
        <w:rPr>
          <w:rFonts w:cs="Times New Roman"/>
          <w:color w:val="000000"/>
        </w:rPr>
        <w:t>denotes the set of control variables. This step tests Hypotheses H1a–H1e.</w:t>
      </w:r>
    </w:p>
    <w:p w14:paraId="0439C099">
      <w:pPr>
        <w:spacing w:after="468" w:afterLines="150"/>
        <w:rPr>
          <w:rFonts w:cs="Times New Roman"/>
          <w:b/>
          <w:bCs w:val="0"/>
          <w:color w:val="000000"/>
        </w:rPr>
      </w:pPr>
      <w:bookmarkStart w:id="77" w:name="OLE_LINK35"/>
      <w:r>
        <w:rPr>
          <w:rFonts w:cs="Times New Roman"/>
          <w:b/>
          <w:color w:val="000000"/>
        </w:rPr>
        <w:t>Model 2: Effect of Typhoon Disasters on Gross capital formation</w:t>
      </w:r>
      <w:r>
        <w:rPr>
          <w:rFonts w:cs="Times New Roman"/>
          <w:b/>
          <w:bCs w:val="0"/>
          <w:color w:val="000000"/>
        </w:rPr>
        <w:t xml:space="preserve"> (H2)</w:t>
      </w:r>
    </w:p>
    <w:p w14:paraId="369E64BC">
      <w:pPr>
        <w:spacing w:after="468" w:afterLines="150"/>
        <w:rPr>
          <w:rFonts w:cs="Times New Roman"/>
          <w:bCs w:val="0"/>
          <w:color w:val="000000"/>
        </w:rPr>
      </w:pPr>
      <w:r>
        <w:rPr>
          <w:rFonts w:cs="Times New Roman"/>
          <w:color w:val="000000"/>
        </w:rPr>
        <w:t>The second model focuses on the impact of typhoon intensity on gross capital formation (GCF):</w:t>
      </w:r>
    </w:p>
    <w:p w14:paraId="758B3EC8">
      <w:pPr>
        <w:spacing w:after="468" w:afterLines="150"/>
        <w:rPr>
          <w:rFonts w:eastAsia="宋体" w:cs="Times New Roman"/>
          <w:color w:val="000000"/>
        </w:rPr>
      </w:pPr>
      <m:oMathPara>
        <m:oMath>
          <m:r>
            <m:rPr/>
            <w:rPr>
              <w:rFonts w:ascii="Cambria Math" w:hAnsi="Cambria Math" w:cs="Times New Roman"/>
              <w:color w:val="000000"/>
            </w:rPr>
            <m:t>GC</m:t>
          </m:r>
          <m:sSub>
            <m:sSubPr>
              <m:ctrlPr>
                <w:rPr>
                  <w:rFonts w:ascii="Cambria Math" w:hAnsi="Cambria Math" w:cs="Times New Roman"/>
                  <w:color w:val="000000"/>
                </w:rPr>
              </m:ctrlPr>
            </m:sSubPr>
            <m:e>
              <m:r>
                <m:rPr/>
                <w:rPr>
                  <w:rFonts w:ascii="Cambria Math" w:hAnsi="Cambria Math" w:cs="Times New Roman"/>
                  <w:color w:val="000000"/>
                </w:rPr>
                <m:t>F</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r>
            <m:rPr/>
            <w:rPr>
              <w:rFonts w:ascii="Cambria Math" w:hAnsi="Cambria Math" w:cs="Times New Roman"/>
              <w:color w:val="000000"/>
            </w:rPr>
            <m:t>α</m:t>
          </m:r>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β</m:t>
              </m:r>
              <m:ctrlPr>
                <w:rPr>
                  <w:rFonts w:ascii="Cambria Math" w:hAnsi="Cambria Math" w:cs="Times New Roman"/>
                  <w:color w:val="000000"/>
                </w:rPr>
              </m:ctrlPr>
            </m:e>
            <m:sub>
              <m:r>
                <m:rPr>
                  <m:sty m:val="p"/>
                </m:rPr>
                <w:rPr>
                  <w:rFonts w:ascii="Cambria Math" w:hAnsi="Cambria Math" w:cs="Times New Roman"/>
                  <w:color w:val="000000"/>
                </w:rPr>
                <m:t>2</m:t>
              </m:r>
              <m:ctrlPr>
                <w:rPr>
                  <w:rFonts w:ascii="Cambria Math" w:hAnsi="Cambria Math" w:cs="Times New Roman"/>
                  <w:color w:val="000000"/>
                </w:rPr>
              </m:ctrlPr>
            </m:sub>
          </m:sSub>
          <m:r>
            <m:rPr>
              <m:sty m:val="p"/>
            </m:rPr>
            <w:rPr>
              <w:rFonts w:ascii="Cambria Math" w:hAnsi="Cambria Math" w:cs="Times New Roman"/>
              <w:color w:val="000000"/>
            </w:rPr>
            <m:t> </m:t>
          </m:r>
          <m:sSub>
            <m:sSubPr>
              <m:ctrlPr>
                <w:rPr>
                  <w:rFonts w:ascii="Cambria Math" w:hAnsi="Cambria Math" w:cs="Times New Roman"/>
                  <w:color w:val="000000"/>
                </w:rPr>
              </m:ctrlPr>
            </m:sSubPr>
            <m:e>
              <m:r>
                <m:rPr>
                  <m:nor/>
                  <m:sty m:val="p"/>
                </m:rPr>
                <w:rPr>
                  <w:rFonts w:cs="Times New Roman"/>
                  <w:b w:val="0"/>
                  <w:i w:val="0"/>
                  <w:color w:val="000000"/>
                </w:rPr>
                <m:t>TEI_agri</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sSup>
            <m:sSupPr>
              <m:ctrlPr>
                <w:rPr>
                  <w:rFonts w:ascii="Cambria Math" w:hAnsi="Cambria Math" w:cs="Times New Roman"/>
                  <w:color w:val="000000"/>
                </w:rPr>
              </m:ctrlPr>
            </m:sSupPr>
            <m:e>
              <m:r>
                <m:rPr/>
                <w:rPr>
                  <w:rFonts w:ascii="Cambria Math" w:hAnsi="Cambria Math" w:cs="Times New Roman"/>
                  <w:color w:val="000000"/>
                </w:rPr>
                <m:t>γ</m:t>
              </m:r>
              <m:ctrlPr>
                <w:rPr>
                  <w:rFonts w:ascii="Cambria Math" w:hAnsi="Cambria Math" w:cs="Times New Roman"/>
                  <w:color w:val="000000"/>
                </w:rPr>
              </m:ctrlPr>
            </m:e>
            <m:sup>
              <m:r>
                <m:rPr>
                  <m:sty m:val="p"/>
                </m:rPr>
                <w:rPr>
                  <w:rFonts w:ascii="Cambria Math" w:hAnsi="Cambria Math" w:cs="Times New Roman"/>
                  <w:color w:val="000000"/>
                </w:rPr>
                <m:t>'</m:t>
              </m:r>
              <m:ctrlPr>
                <w:rPr>
                  <w:rFonts w:ascii="Cambria Math" w:hAnsi="Cambria Math" w:cs="Times New Roman"/>
                  <w:color w:val="000000"/>
                </w:rPr>
              </m:ctrlPr>
            </m:sup>
          </m:sSup>
          <m:sSub>
            <m:sSubPr>
              <m:ctrlPr>
                <w:rPr>
                  <w:rFonts w:ascii="Cambria Math" w:hAnsi="Cambria Math" w:cs="Times New Roman"/>
                  <w:color w:val="000000"/>
                </w:rPr>
              </m:ctrlPr>
            </m:sSubPr>
            <m:e>
              <m:r>
                <m:rPr/>
                <w:rPr>
                  <w:rFonts w:ascii="Cambria Math" w:hAnsi="Cambria Math" w:cs="Times New Roman"/>
                  <w:color w:val="000000"/>
                </w:rPr>
                <m:t>X</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μ</m:t>
              </m:r>
              <m:ctrlPr>
                <w:rPr>
                  <w:rFonts w:ascii="Cambria Math" w:hAnsi="Cambria Math" w:cs="Times New Roman"/>
                  <w:color w:val="000000"/>
                </w:rPr>
              </m:ctrlPr>
            </m:e>
            <m:sub>
              <m:r>
                <m:rPr/>
                <w:rPr>
                  <w:rFonts w:ascii="Cambria Math" w:hAnsi="Cambria Math" w:cs="Times New Roman"/>
                  <w:color w:val="000000"/>
                </w:rPr>
                <m:t>i</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λ</m:t>
              </m:r>
              <m:ctrlPr>
                <w:rPr>
                  <w:rFonts w:ascii="Cambria Math" w:hAnsi="Cambria Math" w:cs="Times New Roman"/>
                  <w:color w:val="000000"/>
                </w:rPr>
              </m:ctrlPr>
            </m:e>
            <m:sub>
              <m:r>
                <m:rPr/>
                <w:rPr>
                  <w:rFonts w:ascii="Cambria Math" w:hAnsi="Cambria Math" w:cs="Times New Roman"/>
                  <w:color w:val="000000"/>
                </w:rPr>
                <m:t>t</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ε</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oMath>
      </m:oMathPara>
    </w:p>
    <w:p w14:paraId="79F46395">
      <w:pPr>
        <w:spacing w:after="468" w:afterLines="150"/>
        <w:rPr>
          <w:rFonts w:eastAsia="宋体" w:cs="Times New Roman"/>
          <w:color w:val="000000"/>
        </w:rPr>
      </w:pPr>
      <w:r>
        <w:rPr>
          <w:rFonts w:cs="Times New Roman"/>
          <w:color w:val="000000"/>
        </w:rPr>
        <w:t>Estimating this fixed</w:t>
      </w:r>
      <w:r>
        <w:rPr>
          <w:rFonts w:cs="Times New Roman"/>
          <w:color w:val="000000"/>
        </w:rPr>
        <w:noBreakHyphen/>
      </w:r>
      <w:r>
        <w:rPr>
          <w:rFonts w:cs="Times New Roman"/>
          <w:color w:val="000000"/>
        </w:rPr>
        <w:t>effects specification allows us to test Hypothesis H2 regarding the negative effect of typhoon disasters on capital accumulation.</w:t>
      </w:r>
    </w:p>
    <w:bookmarkEnd w:id="77"/>
    <w:p w14:paraId="2F9D3EBF">
      <w:pPr>
        <w:spacing w:after="468" w:afterLines="150"/>
        <w:rPr>
          <w:rFonts w:cs="Times New Roman"/>
          <w:b/>
          <w:bCs w:val="0"/>
          <w:color w:val="000000"/>
        </w:rPr>
      </w:pPr>
      <w:r>
        <w:rPr>
          <w:rFonts w:cs="Times New Roman"/>
          <w:b/>
          <w:color w:val="000000"/>
        </w:rPr>
        <w:t xml:space="preserve">Model 3: Effect of Typhoon Disasters </w:t>
      </w:r>
      <w:bookmarkStart w:id="78" w:name="OLE_LINK29"/>
      <w:r>
        <w:rPr>
          <w:rFonts w:cs="Times New Roman"/>
          <w:b/>
          <w:color w:val="000000"/>
        </w:rPr>
        <w:t>→</w:t>
      </w:r>
      <w:bookmarkEnd w:id="78"/>
      <w:r>
        <w:rPr>
          <w:rFonts w:cs="Times New Roman"/>
          <w:b/>
          <w:bCs w:val="0"/>
          <w:color w:val="000000"/>
        </w:rPr>
        <w:t>GCF</w:t>
      </w:r>
      <w:r>
        <w:rPr>
          <w:rFonts w:cs="Times New Roman"/>
          <w:b/>
          <w:color w:val="000000"/>
        </w:rPr>
        <w:t>→ Macroeconomic Outcomes</w:t>
      </w:r>
      <w:r>
        <w:rPr>
          <w:rFonts w:cs="Times New Roman"/>
          <w:b/>
          <w:bCs w:val="0"/>
          <w:color w:val="000000"/>
        </w:rPr>
        <w:t xml:space="preserve"> (H3)</w:t>
      </w:r>
    </w:p>
    <w:p w14:paraId="3E7CE35A">
      <w:pPr>
        <w:spacing w:after="468" w:afterLines="150"/>
        <w:rPr>
          <w:rFonts w:cs="Times New Roman"/>
          <w:color w:val="000000"/>
        </w:rPr>
      </w:pPr>
      <w:r>
        <w:rPr>
          <w:rFonts w:cs="Times New Roman"/>
          <w:color w:val="000000"/>
        </w:rPr>
        <w:t>Finally, to assess the mediating role of capital formation, GCF is incorporated into the baseline outcome equation:</w:t>
      </w:r>
    </w:p>
    <w:p w14:paraId="582AD5DA">
      <w:pPr>
        <w:spacing w:after="468" w:afterLines="150"/>
        <w:rPr>
          <w:rFonts w:eastAsia="宋体" w:cs="Times New Roman"/>
          <w:color w:val="000000"/>
        </w:rPr>
      </w:pPr>
      <m:oMathPara>
        <m:oMath>
          <m:sSub>
            <m:sSubPr>
              <m:ctrlPr>
                <w:rPr>
                  <w:rFonts w:ascii="Cambria Math" w:hAnsi="Cambria Math" w:cs="Times New Roman"/>
                  <w:color w:val="000000"/>
                </w:rPr>
              </m:ctrlPr>
            </m:sSubPr>
            <m:e>
              <m:r>
                <m:rPr/>
                <w:rPr>
                  <w:rFonts w:ascii="Cambria Math" w:hAnsi="Cambria Math" w:cs="Times New Roman"/>
                  <w:color w:val="000000"/>
                </w:rPr>
                <m:t>Y</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r>
            <m:rPr/>
            <w:rPr>
              <w:rFonts w:ascii="Cambria Math" w:hAnsi="Cambria Math" w:cs="Times New Roman"/>
              <w:color w:val="000000"/>
            </w:rPr>
            <m:t>α</m:t>
          </m:r>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β</m:t>
              </m:r>
              <m:ctrlPr>
                <w:rPr>
                  <w:rFonts w:ascii="Cambria Math" w:hAnsi="Cambria Math" w:cs="Times New Roman"/>
                  <w:color w:val="000000"/>
                </w:rPr>
              </m:ctrlPr>
            </m:e>
            <m:sub>
              <m:r>
                <m:rPr>
                  <m:sty m:val="p"/>
                </m:rPr>
                <w:rPr>
                  <w:rFonts w:ascii="Cambria Math" w:hAnsi="Cambria Math" w:cs="Times New Roman"/>
                  <w:color w:val="000000"/>
                </w:rPr>
                <m:t>3</m:t>
              </m:r>
              <m:ctrlPr>
                <w:rPr>
                  <w:rFonts w:ascii="Cambria Math" w:hAnsi="Cambria Math" w:cs="Times New Roman"/>
                  <w:color w:val="000000"/>
                </w:rPr>
              </m:ctrlPr>
            </m:sub>
          </m:sSub>
          <m:r>
            <m:rPr>
              <m:sty m:val="p"/>
            </m:rPr>
            <w:rPr>
              <w:rFonts w:ascii="Cambria Math" w:hAnsi="Cambria Math" w:cs="Times New Roman"/>
              <w:color w:val="000000"/>
            </w:rPr>
            <m:t> </m:t>
          </m:r>
          <m:sSub>
            <m:sSubPr>
              <m:ctrlPr>
                <w:rPr>
                  <w:rFonts w:ascii="Cambria Math" w:hAnsi="Cambria Math" w:cs="Times New Roman"/>
                  <w:color w:val="000000"/>
                </w:rPr>
              </m:ctrlPr>
            </m:sSubPr>
            <m:e>
              <m:r>
                <m:rPr>
                  <m:nor/>
                  <m:sty m:val="p"/>
                </m:rPr>
                <w:rPr>
                  <w:rFonts w:cs="Times New Roman"/>
                  <w:b w:val="0"/>
                  <w:i w:val="0"/>
                  <w:color w:val="000000"/>
                </w:rPr>
                <m:t>TEI_agri</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r>
            <m:rPr/>
            <w:rPr>
              <w:rFonts w:ascii="Cambria Math" w:hAnsi="Cambria Math" w:cs="Times New Roman"/>
              <w:color w:val="000000"/>
            </w:rPr>
            <m:t>δ</m:t>
          </m:r>
          <m:r>
            <m:rPr>
              <m:sty m:val="p"/>
            </m:rPr>
            <w:rPr>
              <w:rFonts w:ascii="Cambria Math" w:hAnsi="Cambria Math" w:cs="Times New Roman"/>
              <w:color w:val="000000"/>
            </w:rPr>
            <m:t> </m:t>
          </m:r>
          <m:r>
            <m:rPr/>
            <w:rPr>
              <w:rFonts w:ascii="Cambria Math" w:hAnsi="Cambria Math" w:cs="Times New Roman"/>
              <w:color w:val="000000"/>
            </w:rPr>
            <m:t>GC</m:t>
          </m:r>
          <m:sSub>
            <m:sSubPr>
              <m:ctrlPr>
                <w:rPr>
                  <w:rFonts w:ascii="Cambria Math" w:hAnsi="Cambria Math" w:cs="Times New Roman"/>
                  <w:color w:val="000000"/>
                </w:rPr>
              </m:ctrlPr>
            </m:sSubPr>
            <m:e>
              <m:r>
                <m:rPr/>
                <w:rPr>
                  <w:rFonts w:ascii="Cambria Math" w:hAnsi="Cambria Math" w:cs="Times New Roman"/>
                  <w:color w:val="000000"/>
                </w:rPr>
                <m:t>F</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sSup>
            <m:sSupPr>
              <m:ctrlPr>
                <w:rPr>
                  <w:rFonts w:ascii="Cambria Math" w:hAnsi="Cambria Math" w:cs="Times New Roman"/>
                  <w:color w:val="000000"/>
                </w:rPr>
              </m:ctrlPr>
            </m:sSupPr>
            <m:e>
              <m:r>
                <m:rPr/>
                <w:rPr>
                  <w:rFonts w:ascii="Cambria Math" w:hAnsi="Cambria Math" w:cs="Times New Roman"/>
                  <w:color w:val="000000"/>
                </w:rPr>
                <m:t>γ</m:t>
              </m:r>
              <m:ctrlPr>
                <w:rPr>
                  <w:rFonts w:ascii="Cambria Math" w:hAnsi="Cambria Math" w:cs="Times New Roman"/>
                  <w:color w:val="000000"/>
                </w:rPr>
              </m:ctrlPr>
            </m:e>
            <m:sup>
              <m:r>
                <m:rPr>
                  <m:sty m:val="p"/>
                </m:rPr>
                <w:rPr>
                  <w:rFonts w:ascii="Cambria Math" w:hAnsi="Cambria Math" w:cs="Times New Roman"/>
                  <w:color w:val="000000"/>
                </w:rPr>
                <m:t>'</m:t>
              </m:r>
              <m:ctrlPr>
                <w:rPr>
                  <w:rFonts w:ascii="Cambria Math" w:hAnsi="Cambria Math" w:cs="Times New Roman"/>
                  <w:color w:val="000000"/>
                </w:rPr>
              </m:ctrlPr>
            </m:sup>
          </m:sSup>
          <m:sSub>
            <m:sSubPr>
              <m:ctrlPr>
                <w:rPr>
                  <w:rFonts w:ascii="Cambria Math" w:hAnsi="Cambria Math" w:cs="Times New Roman"/>
                  <w:color w:val="000000"/>
                </w:rPr>
              </m:ctrlPr>
            </m:sSubPr>
            <m:e>
              <m:r>
                <m:rPr/>
                <w:rPr>
                  <w:rFonts w:ascii="Cambria Math" w:hAnsi="Cambria Math" w:cs="Times New Roman"/>
                  <w:color w:val="000000"/>
                </w:rPr>
                <m:t>X</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μ</m:t>
              </m:r>
              <m:ctrlPr>
                <w:rPr>
                  <w:rFonts w:ascii="Cambria Math" w:hAnsi="Cambria Math" w:cs="Times New Roman"/>
                  <w:color w:val="000000"/>
                </w:rPr>
              </m:ctrlPr>
            </m:e>
            <m:sub>
              <m:r>
                <m:rPr/>
                <w:rPr>
                  <w:rFonts w:ascii="Cambria Math" w:hAnsi="Cambria Math" w:cs="Times New Roman"/>
                  <w:color w:val="000000"/>
                </w:rPr>
                <m:t>i</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λ</m:t>
              </m:r>
              <m:ctrlPr>
                <w:rPr>
                  <w:rFonts w:ascii="Cambria Math" w:hAnsi="Cambria Math" w:cs="Times New Roman"/>
                  <w:color w:val="000000"/>
                </w:rPr>
              </m:ctrlPr>
            </m:e>
            <m:sub>
              <m:r>
                <m:rPr/>
                <w:rPr>
                  <w:rFonts w:ascii="Cambria Math" w:hAnsi="Cambria Math" w:cs="Times New Roman"/>
                  <w:color w:val="000000"/>
                </w:rPr>
                <m:t>t</m:t>
              </m:r>
              <m:ctrlPr>
                <w:rPr>
                  <w:rFonts w:ascii="Cambria Math" w:hAnsi="Cambria Math" w:cs="Times New Roman"/>
                  <w:color w:val="000000"/>
                </w:rPr>
              </m:ctrlPr>
            </m:sub>
          </m:sSub>
          <m:r>
            <m:rPr>
              <m:sty m:val="p"/>
            </m:rPr>
            <w:rPr>
              <w:rFonts w:ascii="Cambria Math" w:hAnsi="Cambria Math" w:cs="Times New Roman"/>
              <w:color w:val="000000"/>
            </w:rPr>
            <m:t>+</m:t>
          </m:r>
          <m:sSub>
            <m:sSubPr>
              <m:ctrlPr>
                <w:rPr>
                  <w:rFonts w:ascii="Cambria Math" w:hAnsi="Cambria Math" w:cs="Times New Roman"/>
                  <w:color w:val="000000"/>
                </w:rPr>
              </m:ctrlPr>
            </m:sSubPr>
            <m:e>
              <m:r>
                <m:rPr/>
                <w:rPr>
                  <w:rFonts w:ascii="Cambria Math" w:hAnsi="Cambria Math" w:cs="Times New Roman"/>
                  <w:color w:val="000000"/>
                </w:rPr>
                <m:t>ε</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oMath>
      </m:oMathPara>
    </w:p>
    <w:p w14:paraId="7E5AE415">
      <w:pPr>
        <w:pStyle w:val="31"/>
        <w:numPr>
          <w:ilvl w:val="1"/>
          <w:numId w:val="0"/>
        </w:numPr>
        <w:tabs>
          <w:tab w:val="left" w:pos="3960"/>
        </w:tabs>
        <w:spacing w:after="150"/>
        <w:rPr>
          <w:rFonts w:eastAsia="宋体" w:cs="Times New Roman"/>
          <w:spacing w:val="-2"/>
        </w:rPr>
      </w:pPr>
      <w:r>
        <w:rPr>
          <w:rFonts w:cs="Times New Roman"/>
          <w:color w:val="000000"/>
        </w:rPr>
        <w:t>Comparing the estimated coefficients on </w:t>
      </w:r>
      <m:oMath>
        <m:sSub>
          <m:sSubPr>
            <m:ctrlPr>
              <w:rPr>
                <w:rFonts w:ascii="Cambria Math" w:hAnsi="Cambria Math" w:cs="Times New Roman"/>
                <w:color w:val="000000"/>
              </w:rPr>
            </m:ctrlPr>
          </m:sSubPr>
          <m:e>
            <m:r>
              <m:rPr>
                <m:nor/>
                <m:sty m:val="p"/>
              </m:rPr>
              <w:rPr>
                <w:rFonts w:cs="Times New Roman"/>
                <w:b w:val="0"/>
                <w:i w:val="0"/>
                <w:color w:val="000000"/>
              </w:rPr>
              <m:t>TEI_agri</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oMath>
      <w:r>
        <w:rPr>
          <w:rFonts w:cs="Times New Roman"/>
          <w:color w:val="000000"/>
        </w:rPr>
        <w:t> and </w:t>
      </w:r>
      <m:oMath>
        <m:sSub>
          <m:sSubPr>
            <m:ctrlPr>
              <w:rPr>
                <w:rFonts w:ascii="Cambria Math" w:hAnsi="Cambria Math" w:cs="Times New Roman"/>
                <w:color w:val="000000"/>
              </w:rPr>
            </m:ctrlPr>
          </m:sSubPr>
          <m:e>
            <m:r>
              <m:rPr>
                <m:nor/>
                <m:sty m:val="p"/>
              </m:rPr>
              <w:rPr>
                <w:rFonts w:cs="Times New Roman"/>
                <w:b w:val="0"/>
                <w:i w:val="0"/>
                <w:color w:val="000000"/>
              </w:rPr>
              <m:t>GCF</m:t>
            </m:r>
            <m:ctrlPr>
              <w:rPr>
                <w:rFonts w:ascii="Cambria Math" w:hAnsi="Cambria Math" w:cs="Times New Roman"/>
                <w:color w:val="000000"/>
              </w:rPr>
            </m:ctrlPr>
          </m:e>
          <m:sub>
            <m:r>
              <m:rPr/>
              <w:rPr>
                <w:rFonts w:ascii="Cambria Math" w:hAnsi="Cambria Math" w:cs="Times New Roman"/>
                <w:color w:val="000000"/>
              </w:rPr>
              <m:t>it</m:t>
            </m:r>
            <m:ctrlPr>
              <w:rPr>
                <w:rFonts w:ascii="Cambria Math" w:hAnsi="Cambria Math" w:cs="Times New Roman"/>
                <w:color w:val="000000"/>
              </w:rPr>
            </m:ctrlPr>
          </m:sub>
        </m:sSub>
      </m:oMath>
      <w:r>
        <w:rPr>
          <w:rFonts w:cs="Times New Roman"/>
          <w:color w:val="000000"/>
        </w:rPr>
        <w:t> across Models 1–3 allows us to assess whether capital formation mediates the transmission of typhoon shocks to macroeconomic outcomes and to determine the strength of this mediating channel.</w:t>
      </w:r>
    </w:p>
    <w:p w14:paraId="7FECFC4D">
      <w:pPr>
        <w:pStyle w:val="3"/>
        <w:numPr>
          <w:ilvl w:val="1"/>
          <w:numId w:val="0"/>
        </w:numPr>
        <w:ind w:leftChars="0"/>
      </w:pPr>
      <w:bookmarkStart w:id="79" w:name="_Toc216969506"/>
      <w:r>
        <w:t>Research Framework</w:t>
      </w:r>
      <w:bookmarkEnd w:id="79"/>
    </w:p>
    <w:p w14:paraId="41980DC9">
      <w:pPr>
        <w:autoSpaceDE w:val="0"/>
        <w:autoSpaceDN w:val="0"/>
        <w:spacing w:after="468" w:afterLines="150"/>
        <w:rPr>
          <w:rFonts w:cs="Times New Roman"/>
          <w:color w:val="000000"/>
        </w:rPr>
      </w:pPr>
      <w:r>
        <w:rPr>
          <w:rFonts w:cs="Times New Roman"/>
          <w:color w:val="000000"/>
        </w:rPr>
        <w:t>To systematically examine the impact of typhoon disasters on macroeconomic performance, this study constructs an analytical framework comprising three primary pathways:</w:t>
      </w:r>
    </w:p>
    <w:p w14:paraId="01559C95">
      <w:pPr>
        <w:autoSpaceDE w:val="0"/>
        <w:autoSpaceDN w:val="0"/>
        <w:spacing w:after="468" w:afterLines="150"/>
        <w:rPr>
          <w:rFonts w:cs="Times New Roman"/>
          <w:color w:val="000000"/>
        </w:rPr>
      </w:pPr>
      <w:r>
        <w:rPr>
          <w:rFonts w:cs="Times New Roman"/>
          <w:color w:val="000000"/>
        </w:rPr>
        <w:t xml:space="preserve">(1) </w:t>
      </w:r>
      <w:bookmarkStart w:id="80" w:name="OLE_LINK43"/>
      <w:r>
        <w:rPr>
          <w:rFonts w:cs="Times New Roman"/>
          <w:color w:val="000000"/>
        </w:rPr>
        <w:t>The direct impact pathway of typhoon disasters on macroeconomic indicators.</w:t>
      </w:r>
      <w:bookmarkEnd w:id="80"/>
    </w:p>
    <w:p w14:paraId="4C64BB52">
      <w:pPr>
        <w:autoSpaceDE w:val="0"/>
        <w:autoSpaceDN w:val="0"/>
        <w:spacing w:after="468" w:afterLines="150"/>
        <w:rPr>
          <w:rFonts w:cs="Times New Roman"/>
          <w:color w:val="000000"/>
        </w:rPr>
      </w:pPr>
      <w:r>
        <w:rPr>
          <w:rFonts w:cs="Times New Roman"/>
          <w:color w:val="000000"/>
        </w:rPr>
        <w:t xml:space="preserve">(2) </w:t>
      </w:r>
      <w:bookmarkStart w:id="81" w:name="OLE_LINK55"/>
      <w:r>
        <w:rPr>
          <w:rFonts w:cs="Times New Roman"/>
          <w:color w:val="000000"/>
        </w:rPr>
        <w:t>The channel through which typhoon disasters affect gross capital formation (GCF).</w:t>
      </w:r>
      <w:bookmarkEnd w:id="81"/>
    </w:p>
    <w:p w14:paraId="4F7325A9">
      <w:pPr>
        <w:autoSpaceDE w:val="0"/>
        <w:autoSpaceDN w:val="0"/>
        <w:spacing w:after="468" w:afterLines="150"/>
        <w:rPr>
          <w:rFonts w:cs="Times New Roman"/>
          <w:color w:val="000000"/>
        </w:rPr>
      </w:pPr>
      <w:r>
        <w:rPr>
          <w:rFonts w:cs="Times New Roman"/>
          <w:color w:val="000000"/>
        </w:rPr>
        <w:t>(3) The indirect channel where capital formation acts as an intermediary mechanism, transmitting typhoon shocks further to the macroeconomy.</w:t>
      </w:r>
    </w:p>
    <w:p w14:paraId="074CB947">
      <w:pPr>
        <w:spacing w:after="468"/>
        <w:rPr>
          <w:rFonts w:eastAsia="宋体" w:cs="Times New Roman"/>
          <w:bCs w:val="0"/>
          <w:spacing w:val="-2"/>
        </w:rPr>
      </w:pPr>
      <w:r>
        <w:rPr>
          <w:rFonts w:cs="Times New Roman"/>
          <w:color w:val="000000"/>
        </w:rPr>
        <w:t>These three channels collectively form the integrated structure: “Typhoon → Capital Formation → Economic Performance.” The following sections will explain each channel separately and present the corresponding analytical framework diagram</w:t>
      </w:r>
      <w:r>
        <w:rPr>
          <w:rFonts w:eastAsia="宋体" w:cs="Times New Roman"/>
          <w:bCs w:val="0"/>
          <w:spacing w:val="-2"/>
        </w:rPr>
        <w:t>.</w:t>
      </w:r>
    </w:p>
    <w:p w14:paraId="0686B73C">
      <w:pPr>
        <w:keepNext w:val="0"/>
        <w:keepLines w:val="0"/>
        <w:pageBreakBefore w:val="0"/>
        <w:widowControl w:val="0"/>
        <w:kinsoku/>
        <w:wordWrap/>
        <w:overflowPunct/>
        <w:topLinePunct w:val="0"/>
        <w:autoSpaceDE/>
        <w:autoSpaceDN/>
        <w:bidi w:val="0"/>
        <w:adjustRightInd/>
        <w:snapToGrid/>
        <w:jc w:val="center"/>
        <w:textAlignment w:val="auto"/>
      </w:pPr>
      <w:r>
        <w:rPr>
          <w:rFonts w:hint="default" w:ascii="Times New Roman Italic" w:hAnsi="Times New Roman Italic" w:cs="Times New Roman Italic"/>
          <w:i/>
          <w:iCs/>
          <w:color w:val="auto"/>
          <w:sz w:val="24"/>
        </w:rPr>
        <mc:AlternateContent>
          <mc:Choice Requires="wps">
            <w:drawing>
              <wp:anchor distT="0" distB="0" distL="114300" distR="114300" simplePos="0" relativeHeight="251665408" behindDoc="0" locked="0" layoutInCell="1" allowOverlap="1">
                <wp:simplePos x="0" y="0"/>
                <wp:positionH relativeFrom="column">
                  <wp:posOffset>3815715</wp:posOffset>
                </wp:positionH>
                <wp:positionV relativeFrom="paragraph">
                  <wp:posOffset>1389380</wp:posOffset>
                </wp:positionV>
                <wp:extent cx="1480820" cy="1605280"/>
                <wp:effectExtent l="604520" t="6350" r="22860" b="13970"/>
                <wp:wrapNone/>
                <wp:docPr id="29" name="线形标注 2 29"/>
                <wp:cNvGraphicFramePr/>
                <a:graphic xmlns:a="http://schemas.openxmlformats.org/drawingml/2006/main">
                  <a:graphicData uri="http://schemas.microsoft.com/office/word/2010/wordprocessingShape">
                    <wps:wsp>
                      <wps:cNvSpPr/>
                      <wps:spPr>
                        <a:xfrm>
                          <a:off x="4669790" y="7616825"/>
                          <a:ext cx="1480820" cy="1605280"/>
                        </a:xfrm>
                        <a:prstGeom prst="borderCallout2">
                          <a:avLst>
                            <a:gd name="adj1" fmla="val 51898"/>
                            <a:gd name="adj2" fmla="val 590"/>
                            <a:gd name="adj3" fmla="val 57674"/>
                            <a:gd name="adj4" fmla="val -15994"/>
                            <a:gd name="adj5" fmla="val 66337"/>
                            <a:gd name="adj6" fmla="val -40651"/>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22880F1">
                            <w:pPr>
                              <w:keepNext w:val="0"/>
                              <w:keepLines w:val="0"/>
                              <w:widowControl/>
                              <w:suppressLineNumbers w:val="0"/>
                              <w:jc w:val="left"/>
                              <w:rPr>
                                <w:rFonts w:hint="default" w:ascii="Times New Roman" w:hAnsi="Times New Roman" w:eastAsia="宋体" w:cs="Times New Roman"/>
                                <w:bCs/>
                                <w:color w:val="000000"/>
                                <w:kern w:val="44"/>
                                <w:sz w:val="20"/>
                                <w:szCs w:val="20"/>
                                <w:lang w:val="en-US" w:eastAsia="zh-CN" w:bidi="ar"/>
                              </w:rPr>
                            </w:pPr>
                            <w:r>
                              <w:rPr>
                                <w:rFonts w:hint="default" w:ascii="Times New Roman" w:hAnsi="Times New Roman" w:eastAsia="宋体" w:cs="Times New Roman"/>
                                <w:bCs/>
                                <w:color w:val="000000"/>
                                <w:kern w:val="44"/>
                                <w:sz w:val="20"/>
                                <w:szCs w:val="20"/>
                                <w:lang w:val="en-US" w:eastAsia="zh-CN" w:bidi="ar"/>
                              </w:rPr>
                              <w:t>GDP Growth</w:t>
                            </w:r>
                            <w:r>
                              <w:rPr>
                                <w:rFonts w:hint="default" w:eastAsia="宋体" w:cs="Times New Roman"/>
                                <w:bCs/>
                                <w:color w:val="000000"/>
                                <w:kern w:val="44"/>
                                <w:sz w:val="20"/>
                                <w:szCs w:val="20"/>
                                <w:lang w:val="en-US" w:eastAsia="zh-CN" w:bidi="ar"/>
                              </w:rPr>
                              <w:t xml:space="preserve"> (+)</w:t>
                            </w:r>
                          </w:p>
                          <w:p w14:paraId="27257200">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Unemployment Rate</w:t>
                            </w:r>
                            <w:r>
                              <w:rPr>
                                <w:rFonts w:hint="default" w:cs="Times New Roman"/>
                                <w:color w:val="000000"/>
                                <w:sz w:val="20"/>
                                <w:szCs w:val="20"/>
                                <w:lang w:val="en-US"/>
                              </w:rPr>
                              <w:t>(+)</w:t>
                            </w:r>
                          </w:p>
                          <w:p w14:paraId="437142C1">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Agriculture Growth</w:t>
                            </w:r>
                            <w:r>
                              <w:rPr>
                                <w:rFonts w:hint="default" w:cs="Times New Roman"/>
                                <w:color w:val="000000"/>
                                <w:sz w:val="20"/>
                                <w:szCs w:val="20"/>
                                <w:lang w:val="en-US"/>
                              </w:rPr>
                              <w:t>(-)</w:t>
                            </w:r>
                          </w:p>
                          <w:p w14:paraId="75899E46">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FDI Inflow</w:t>
                            </w:r>
                            <w:r>
                              <w:rPr>
                                <w:rFonts w:hint="default" w:cs="Times New Roman"/>
                                <w:color w:val="000000"/>
                                <w:sz w:val="20"/>
                                <w:szCs w:val="20"/>
                                <w:lang w:val="en-US"/>
                              </w:rPr>
                              <w:t>(-)</w:t>
                            </w:r>
                          </w:p>
                          <w:p w14:paraId="5C0BE2DC">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Inflation</w:t>
                            </w:r>
                            <w:r>
                              <w:rPr>
                                <w:rFonts w:hint="default" w:cs="Times New Roman"/>
                                <w:color w:val="000000"/>
                                <w:sz w:val="20"/>
                                <w:szCs w:val="20"/>
                                <w:lang w:val="en-US"/>
                              </w:rPr>
                              <w:t>(+)</w:t>
                            </w:r>
                          </w:p>
                          <w:p w14:paraId="3E934F4B">
                            <w:pPr>
                              <w:keepNext w:val="0"/>
                              <w:keepLines w:val="0"/>
                              <w:widowControl/>
                              <w:suppressLineNumbers w:val="0"/>
                              <w:jc w:val="left"/>
                              <w:rPr>
                                <w:rFonts w:cs="Times New Roman"/>
                                <w:color w:val="000000"/>
                                <w:sz w:val="20"/>
                                <w:szCs w:val="20"/>
                              </w:rPr>
                            </w:pPr>
                          </w:p>
                          <w:p w14:paraId="4A9A5FF2">
                            <w:pPr>
                              <w:keepNext w:val="0"/>
                              <w:keepLines w:val="0"/>
                              <w:widowControl/>
                              <w:suppressLineNumbers w:val="0"/>
                              <w:jc w:val="left"/>
                              <w:rPr>
                                <w:rFonts w:hint="default" w:cs="Times New Roman"/>
                                <w:color w:val="000000"/>
                                <w:sz w:val="20"/>
                                <w:szCs w:val="20"/>
                                <w:lang w:val="en-US" w:eastAsia="zh-CN"/>
                              </w:rPr>
                            </w:pPr>
                          </w:p>
                          <w:p w14:paraId="324E70AE">
                            <w:pPr>
                              <w:keepNext w:val="0"/>
                              <w:keepLines w:val="0"/>
                              <w:widowControl/>
                              <w:suppressLineNumbers w:val="0"/>
                              <w:jc w:val="left"/>
                              <w:rPr>
                                <w:rFonts w:hint="default" w:ascii="Times New Roman" w:hAnsi="Times New Roman" w:eastAsia="宋体" w:cs="Times New Roman"/>
                                <w:bCs/>
                                <w:color w:val="000000"/>
                                <w:kern w:val="44"/>
                                <w:sz w:val="20"/>
                                <w:szCs w:val="20"/>
                                <w:lang w:val="en-US" w:eastAsia="zh-CN" w:bidi="ar"/>
                              </w:rPr>
                            </w:pPr>
                          </w:p>
                          <w:p w14:paraId="1D547BAA">
                            <w:pPr>
                              <w:jc w:val="center"/>
                              <w:rPr>
                                <w:rFonts w:hint="default" w:ascii="Times New Roman" w:hAnsi="Times New Roman" w:cs="Times New Roman"/>
                                <w:b w:val="0"/>
                                <w:bCs/>
                                <w:color w:val="auto"/>
                                <w:lang w:val="en-US"/>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8" type="#_x0000_t48" style="position:absolute;left:0pt;margin-left:300.45pt;margin-top:109.4pt;height:126.4pt;width:116.6pt;z-index:251665408;v-text-anchor:middle;mso-width-relative:page;mso-height-relative:page;" filled="f" stroked="t" coordsize="21600,21600" o:gfxdata="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FeKnjLbAAAACwEAAA8AAAAAAAAAAQAgAAAAIgAAAGRycy9kb3ducmV2Lnht&#10;bFBLAQIUABQAAAAIAIdO4kBcBNBH2gIAANgFAAAOAAAAAAAAAAEAIAAAACoBAABkcnMvZTJvRG9j&#10;LnhtbFBLBQYAAAAABgAGAFkBAAB2BgAAAAA=&#10;" adj="-8781,14329,-3455,12458,127,11210">
                <v:fill on="f" focussize="0,0"/>
                <v:stroke weight="1pt" color="#000000 [3213]" miterlimit="8" joinstyle="miter"/>
                <v:imagedata o:title=""/>
                <o:lock v:ext="edit" aspectratio="f"/>
                <v:textbox>
                  <w:txbxContent>
                    <w:p w14:paraId="022880F1">
                      <w:pPr>
                        <w:keepNext w:val="0"/>
                        <w:keepLines w:val="0"/>
                        <w:widowControl/>
                        <w:suppressLineNumbers w:val="0"/>
                        <w:jc w:val="left"/>
                        <w:rPr>
                          <w:rFonts w:hint="default" w:ascii="Times New Roman" w:hAnsi="Times New Roman" w:eastAsia="宋体" w:cs="Times New Roman"/>
                          <w:bCs/>
                          <w:color w:val="000000"/>
                          <w:kern w:val="44"/>
                          <w:sz w:val="20"/>
                          <w:szCs w:val="20"/>
                          <w:lang w:val="en-US" w:eastAsia="zh-CN" w:bidi="ar"/>
                        </w:rPr>
                      </w:pPr>
                      <w:r>
                        <w:rPr>
                          <w:rFonts w:hint="default" w:ascii="Times New Roman" w:hAnsi="Times New Roman" w:eastAsia="宋体" w:cs="Times New Roman"/>
                          <w:bCs/>
                          <w:color w:val="000000"/>
                          <w:kern w:val="44"/>
                          <w:sz w:val="20"/>
                          <w:szCs w:val="20"/>
                          <w:lang w:val="en-US" w:eastAsia="zh-CN" w:bidi="ar"/>
                        </w:rPr>
                        <w:t>GDP Growth</w:t>
                      </w:r>
                      <w:r>
                        <w:rPr>
                          <w:rFonts w:hint="default" w:eastAsia="宋体" w:cs="Times New Roman"/>
                          <w:bCs/>
                          <w:color w:val="000000"/>
                          <w:kern w:val="44"/>
                          <w:sz w:val="20"/>
                          <w:szCs w:val="20"/>
                          <w:lang w:val="en-US" w:eastAsia="zh-CN" w:bidi="ar"/>
                        </w:rPr>
                        <w:t xml:space="preserve"> (+)</w:t>
                      </w:r>
                    </w:p>
                    <w:p w14:paraId="27257200">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Unemployment Rate</w:t>
                      </w:r>
                      <w:r>
                        <w:rPr>
                          <w:rFonts w:hint="default" w:cs="Times New Roman"/>
                          <w:color w:val="000000"/>
                          <w:sz w:val="20"/>
                          <w:szCs w:val="20"/>
                          <w:lang w:val="en-US"/>
                        </w:rPr>
                        <w:t>(+)</w:t>
                      </w:r>
                    </w:p>
                    <w:p w14:paraId="437142C1">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Agriculture Growth</w:t>
                      </w:r>
                      <w:r>
                        <w:rPr>
                          <w:rFonts w:hint="default" w:cs="Times New Roman"/>
                          <w:color w:val="000000"/>
                          <w:sz w:val="20"/>
                          <w:szCs w:val="20"/>
                          <w:lang w:val="en-US"/>
                        </w:rPr>
                        <w:t>(-)</w:t>
                      </w:r>
                    </w:p>
                    <w:p w14:paraId="75899E46">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FDI Inflow</w:t>
                      </w:r>
                      <w:r>
                        <w:rPr>
                          <w:rFonts w:hint="default" w:cs="Times New Roman"/>
                          <w:color w:val="000000"/>
                          <w:sz w:val="20"/>
                          <w:szCs w:val="20"/>
                          <w:lang w:val="en-US"/>
                        </w:rPr>
                        <w:t>(-)</w:t>
                      </w:r>
                    </w:p>
                    <w:p w14:paraId="5C0BE2DC">
                      <w:pPr>
                        <w:keepNext w:val="0"/>
                        <w:keepLines w:val="0"/>
                        <w:widowControl/>
                        <w:suppressLineNumbers w:val="0"/>
                        <w:jc w:val="left"/>
                        <w:rPr>
                          <w:rFonts w:hint="default" w:cs="Times New Roman"/>
                          <w:color w:val="000000"/>
                          <w:sz w:val="20"/>
                          <w:szCs w:val="20"/>
                          <w:lang w:val="en-US"/>
                        </w:rPr>
                      </w:pPr>
                      <w:r>
                        <w:rPr>
                          <w:rFonts w:cs="Times New Roman"/>
                          <w:color w:val="000000"/>
                          <w:sz w:val="20"/>
                          <w:szCs w:val="20"/>
                        </w:rPr>
                        <w:t>Inflation</w:t>
                      </w:r>
                      <w:r>
                        <w:rPr>
                          <w:rFonts w:hint="default" w:cs="Times New Roman"/>
                          <w:color w:val="000000"/>
                          <w:sz w:val="20"/>
                          <w:szCs w:val="20"/>
                          <w:lang w:val="en-US"/>
                        </w:rPr>
                        <w:t>(+)</w:t>
                      </w:r>
                    </w:p>
                    <w:p w14:paraId="3E934F4B">
                      <w:pPr>
                        <w:keepNext w:val="0"/>
                        <w:keepLines w:val="0"/>
                        <w:widowControl/>
                        <w:suppressLineNumbers w:val="0"/>
                        <w:jc w:val="left"/>
                        <w:rPr>
                          <w:rFonts w:cs="Times New Roman"/>
                          <w:color w:val="000000"/>
                          <w:sz w:val="20"/>
                          <w:szCs w:val="20"/>
                        </w:rPr>
                      </w:pPr>
                    </w:p>
                    <w:p w14:paraId="4A9A5FF2">
                      <w:pPr>
                        <w:keepNext w:val="0"/>
                        <w:keepLines w:val="0"/>
                        <w:widowControl/>
                        <w:suppressLineNumbers w:val="0"/>
                        <w:jc w:val="left"/>
                        <w:rPr>
                          <w:rFonts w:hint="default" w:cs="Times New Roman"/>
                          <w:color w:val="000000"/>
                          <w:sz w:val="20"/>
                          <w:szCs w:val="20"/>
                          <w:lang w:val="en-US" w:eastAsia="zh-CN"/>
                        </w:rPr>
                      </w:pPr>
                    </w:p>
                    <w:p w14:paraId="324E70AE">
                      <w:pPr>
                        <w:keepNext w:val="0"/>
                        <w:keepLines w:val="0"/>
                        <w:widowControl/>
                        <w:suppressLineNumbers w:val="0"/>
                        <w:jc w:val="left"/>
                        <w:rPr>
                          <w:rFonts w:hint="default" w:ascii="Times New Roman" w:hAnsi="Times New Roman" w:eastAsia="宋体" w:cs="Times New Roman"/>
                          <w:bCs/>
                          <w:color w:val="000000"/>
                          <w:kern w:val="44"/>
                          <w:sz w:val="20"/>
                          <w:szCs w:val="20"/>
                          <w:lang w:val="en-US" w:eastAsia="zh-CN" w:bidi="ar"/>
                        </w:rPr>
                      </w:pPr>
                    </w:p>
                    <w:p w14:paraId="1D547BAA">
                      <w:pPr>
                        <w:jc w:val="center"/>
                        <w:rPr>
                          <w:rFonts w:hint="default" w:ascii="Times New Roman" w:hAnsi="Times New Roman" w:cs="Times New Roman"/>
                          <w:b w:val="0"/>
                          <w:bCs/>
                          <w:color w:val="auto"/>
                          <w:lang w:val="en-US"/>
                        </w:rPr>
                      </w:pPr>
                    </w:p>
                  </w:txbxContent>
                </v:textbox>
              </v:shape>
            </w:pict>
          </mc:Fallback>
        </mc:AlternateContent>
      </w:r>
      <w:r>
        <w:rPr>
          <w:rFonts w:hint="default" w:ascii="Times New Roman Italic" w:hAnsi="Times New Roman Italic" w:cs="Times New Roman Italic"/>
          <w:i/>
          <w:iCs/>
          <w:color w:val="auto"/>
          <w:sz w:val="24"/>
        </w:rPr>
        <mc:AlternateContent>
          <mc:Choice Requires="wps">
            <w:drawing>
              <wp:anchor distT="0" distB="0" distL="114300" distR="114300" simplePos="0" relativeHeight="251662336" behindDoc="0" locked="0" layoutInCell="1" allowOverlap="1">
                <wp:simplePos x="0" y="0"/>
                <wp:positionH relativeFrom="column">
                  <wp:posOffset>2221230</wp:posOffset>
                </wp:positionH>
                <wp:positionV relativeFrom="paragraph">
                  <wp:posOffset>2168525</wp:posOffset>
                </wp:positionV>
                <wp:extent cx="1001395" cy="681990"/>
                <wp:effectExtent l="6350" t="6350" r="8255" b="22860"/>
                <wp:wrapNone/>
                <wp:docPr id="25" name="文本框 25"/>
                <wp:cNvGraphicFramePr/>
                <a:graphic xmlns:a="http://schemas.openxmlformats.org/drawingml/2006/main">
                  <a:graphicData uri="http://schemas.microsoft.com/office/word/2010/wordprocessingShape">
                    <wps:wsp>
                      <wps:cNvSpPr txBox="1"/>
                      <wps:spPr>
                        <a:xfrm>
                          <a:off x="5429885" y="7405370"/>
                          <a:ext cx="1001395" cy="6819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4D6489E">
                            <w:r>
                              <w:rPr>
                                <w:rFonts w:cs="Times New Roman"/>
                                <w:color w:val="000000"/>
                              </w:rPr>
                              <w:t>Economic Performance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9pt;margin-top:170.75pt;height:53.7pt;width:78.85pt;z-index:251662336;mso-width-relative:page;mso-height-relative:page;" fillcolor="#FFFFFF [3201]" filled="t" stroked="t" coordsize="21600,21600" o:gfxdata="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YTKV12AAAAAsBAAAPAAAAAAAAAAEAIAAAACIAAABkcnMvZG93bnJldi54bWxQSwEC&#10;FAAUAAAACACHTuJAujtyamYCAADFBAAADgAAAAAAAAABACAAAAAnAQAAZHJzL2Uyb0RvYy54bWxQ&#10;SwUGAAAAAAYABgBZAQAA/wUAAAAA&#10;">
                <v:fill on="t" focussize="0,0"/>
                <v:stroke weight="0.5pt" color="#000000 [3204]" joinstyle="round"/>
                <v:imagedata o:title=""/>
                <o:lock v:ext="edit" aspectratio="f"/>
                <v:textbox>
                  <w:txbxContent>
                    <w:p w14:paraId="34D6489E">
                      <w:r>
                        <w:rPr>
                          <w:rFonts w:cs="Times New Roman"/>
                          <w:color w:val="000000"/>
                        </w:rPr>
                        <w:t>Economic Performance</w:t>
                      </w:r>
                    </w:p>
                  </w:txbxContent>
                </v:textbox>
              </v:shape>
            </w:pict>
          </mc:Fallback>
        </mc:AlternateContent>
      </w:r>
      <w:r>
        <w:rPr>
          <w:rFonts w:hint="default" w:ascii="Times New Roman Italic" w:hAnsi="Times New Roman Italic" w:cs="Times New Roman Italic"/>
          <w:i/>
          <w:iCs/>
          <w:color w:val="auto"/>
          <w:sz w:val="24"/>
        </w:rPr>
        <mc:AlternateContent>
          <mc:Choice Requires="wps">
            <w:drawing>
              <wp:anchor distT="0" distB="0" distL="114300" distR="114300" simplePos="0" relativeHeight="251659264" behindDoc="0" locked="0" layoutInCell="1" allowOverlap="1">
                <wp:simplePos x="0" y="0"/>
                <wp:positionH relativeFrom="column">
                  <wp:posOffset>-100330</wp:posOffset>
                </wp:positionH>
                <wp:positionV relativeFrom="paragraph">
                  <wp:posOffset>2284730</wp:posOffset>
                </wp:positionV>
                <wp:extent cx="1241425" cy="431800"/>
                <wp:effectExtent l="6350" t="6350" r="22225" b="19050"/>
                <wp:wrapNone/>
                <wp:docPr id="19" name="文本框 19"/>
                <wp:cNvGraphicFramePr/>
                <a:graphic xmlns:a="http://schemas.openxmlformats.org/drawingml/2006/main">
                  <a:graphicData uri="http://schemas.microsoft.com/office/word/2010/wordprocessingShape">
                    <wps:wsp>
                      <wps:cNvSpPr txBox="1"/>
                      <wps:spPr>
                        <a:xfrm>
                          <a:off x="1744980" y="7597775"/>
                          <a:ext cx="1241425" cy="431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828A19">
                            <w:pPr>
                              <w:jc w:val="center"/>
                              <w:rPr>
                                <w:rFonts w:hint="default" w:eastAsia="宋体"/>
                                <w:lang w:val="en-US" w:eastAsia="zh-CN"/>
                              </w:rPr>
                            </w:pPr>
                            <w:r>
                              <w:rPr>
                                <w:rFonts w:hint="eastAsia" w:eastAsia="宋体"/>
                                <w:lang w:val="en-US" w:eastAsia="zh-CN"/>
                              </w:rPr>
                              <w:t>T</w:t>
                            </w:r>
                            <w:r>
                              <w:rPr>
                                <w:rFonts w:hint="default" w:eastAsia="宋体"/>
                                <w:lang w:val="en-US" w:eastAsia="zh-CN"/>
                              </w:rPr>
                              <w:t>yphoon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pt;margin-top:179.9pt;height:34pt;width:97.75pt;z-index:251659264;mso-width-relative:page;mso-height-relative:page;" fillcolor="#FFFFFF [3201]" filled="t" stroked="t" coordsize="21600,21600" o:gfxdata="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4z3AtdkAAAALAQAADwAAAAAAAAABACAAAAAiAAAAZHJzL2Rvd25yZXYueG1sUEsB&#10;AhQAFAAAAAgAh07iQCo+tdZmAgAAxQQAAA4AAAAAAAAAAQAgAAAAKAEAAGRycy9lMm9Eb2MueG1s&#10;UEsFBgAAAAAGAAYAWQEAAAAGAAAAAA==&#10;">
                <v:fill on="t" focussize="0,0"/>
                <v:stroke weight="0.5pt" color="#000000 [3204]" joinstyle="round"/>
                <v:imagedata o:title=""/>
                <o:lock v:ext="edit" aspectratio="f"/>
                <v:textbox>
                  <w:txbxContent>
                    <w:p w14:paraId="63828A19">
                      <w:pPr>
                        <w:jc w:val="center"/>
                        <w:rPr>
                          <w:rFonts w:hint="default" w:eastAsia="宋体"/>
                          <w:lang w:val="en-US" w:eastAsia="zh-CN"/>
                        </w:rPr>
                      </w:pPr>
                      <w:r>
                        <w:rPr>
                          <w:rFonts w:hint="eastAsia" w:eastAsia="宋体"/>
                          <w:lang w:val="en-US" w:eastAsia="zh-CN"/>
                        </w:rPr>
                        <w:t>T</w:t>
                      </w:r>
                      <w:r>
                        <w:rPr>
                          <w:rFonts w:hint="default" w:eastAsia="宋体"/>
                          <w:lang w:val="en-US" w:eastAsia="zh-CN"/>
                        </w:rPr>
                        <w:t>yphoon</w:t>
                      </w:r>
                    </w:p>
                  </w:txbxContent>
                </v:textbox>
              </v:shape>
            </w:pict>
          </mc:Fallback>
        </mc:AlternateContent>
      </w:r>
      <w:r>
        <w:rPr>
          <w:rFonts w:hint="default" w:ascii="Times New Roman Italic" w:hAnsi="Times New Roman Italic" w:cs="Times New Roman Italic"/>
          <w:i/>
          <w:iCs/>
          <w:color w:val="auto"/>
          <w:sz w:val="24"/>
        </w:rPr>
        <mc:AlternateContent>
          <mc:Choice Requires="wps">
            <w:drawing>
              <wp:anchor distT="0" distB="0" distL="114300" distR="114300" simplePos="0" relativeHeight="251661312" behindDoc="0" locked="0" layoutInCell="1" allowOverlap="1">
                <wp:simplePos x="0" y="0"/>
                <wp:positionH relativeFrom="column">
                  <wp:posOffset>1978660</wp:posOffset>
                </wp:positionH>
                <wp:positionV relativeFrom="paragraph">
                  <wp:posOffset>796925</wp:posOffset>
                </wp:positionV>
                <wp:extent cx="1471930" cy="422910"/>
                <wp:effectExtent l="6350" t="6350" r="20320" b="27940"/>
                <wp:wrapNone/>
                <wp:docPr id="22" name="文本框 22"/>
                <wp:cNvGraphicFramePr/>
                <a:graphic xmlns:a="http://schemas.openxmlformats.org/drawingml/2006/main">
                  <a:graphicData uri="http://schemas.microsoft.com/office/word/2010/wordprocessingShape">
                    <wps:wsp>
                      <wps:cNvSpPr txBox="1"/>
                      <wps:spPr>
                        <a:xfrm>
                          <a:off x="3438525" y="7097395"/>
                          <a:ext cx="1471930" cy="4229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00F995">
                            <w:pPr>
                              <w:jc w:val="center"/>
                            </w:pPr>
                            <w:r>
                              <w:rPr>
                                <w:rFonts w:cs="Times New Roman"/>
                                <w:color w:val="000000"/>
                              </w:rPr>
                              <w:t>Capital Formation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8pt;margin-top:62.75pt;height:33.3pt;width:115.9pt;z-index:251661312;mso-width-relative:page;mso-height-relative:page;" fillcolor="#FFFFFF [3201]" filled="t" stroked="t" coordsize="21600,21600" o:gfxdata="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Y/Cho1wAAAAsBAAAPAAAAAAAAAAEAIAAAACIAAABkcnMvZG93bnJldi54bWxQSwEC&#10;FAAUAAAACACHTuJAUamMu2cCAADFBAAADgAAAAAAAAABACAAAAAmAQAAZHJzL2Uyb0RvYy54bWxQ&#10;SwUGAAAAAAYABgBZAQAA/wUAAAAA&#10;">
                <v:fill on="t" focussize="0,0"/>
                <v:stroke weight="0.5pt" color="#000000 [3204]" joinstyle="round"/>
                <v:imagedata o:title=""/>
                <o:lock v:ext="edit" aspectratio="f"/>
                <v:textbox>
                  <w:txbxContent>
                    <w:p w14:paraId="1C00F995">
                      <w:pPr>
                        <w:jc w:val="center"/>
                      </w:pPr>
                      <w:r>
                        <w:rPr>
                          <w:rFonts w:cs="Times New Roman"/>
                          <w:color w:val="000000"/>
                        </w:rPr>
                        <w:t>Capital Formation</w:t>
                      </w:r>
                    </w:p>
                  </w:txbxContent>
                </v:textbox>
              </v:shape>
            </w:pict>
          </mc:Fallback>
        </mc:AlternateContent>
      </w:r>
      <w:r>
        <w:rPr>
          <w:rFonts w:hint="default" w:ascii="Times New Roman Italic" w:hAnsi="Times New Roman Italic" w:cs="Times New Roman Italic"/>
          <w:i/>
          <w:iCs/>
          <w:color w:val="auto"/>
          <w:sz w:val="24"/>
        </w:rPr>
        <mc:AlternateContent>
          <mc:Choice Requires="wps">
            <w:drawing>
              <wp:anchor distT="0" distB="0" distL="114300" distR="114300" simplePos="0" relativeHeight="251660288" behindDoc="0" locked="0" layoutInCell="1" allowOverlap="1">
                <wp:simplePos x="0" y="0"/>
                <wp:positionH relativeFrom="column">
                  <wp:posOffset>535305</wp:posOffset>
                </wp:positionH>
                <wp:positionV relativeFrom="paragraph">
                  <wp:posOffset>1008380</wp:posOffset>
                </wp:positionV>
                <wp:extent cx="1443355" cy="1223645"/>
                <wp:effectExtent l="3810" t="0" r="635" b="20955"/>
                <wp:wrapNone/>
                <wp:docPr id="20" name="直接箭头连接符 20"/>
                <wp:cNvGraphicFramePr/>
                <a:graphic xmlns:a="http://schemas.openxmlformats.org/drawingml/2006/main">
                  <a:graphicData uri="http://schemas.microsoft.com/office/word/2010/wordprocessingShape">
                    <wps:wsp>
                      <wps:cNvCnPr>
                        <a:endCxn id="22" idx="1"/>
                      </wps:cNvCnPr>
                      <wps:spPr>
                        <a:xfrm flipV="1">
                          <a:off x="2899410" y="7078345"/>
                          <a:ext cx="1443355" cy="122364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42.15pt;margin-top:79.4pt;height:96.35pt;width:113.65pt;z-index:251660288;mso-width-relative:page;mso-height-relative:page;" filled="f" stroked="t" coordsize="21600,21600" o:gfxdata="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eWrXNsAAAAKAQAADwAAAAAAAAABACAAAAAiAAAAZHJzL2Rvd25yZXYueG1s&#10;UEsBAhQAFAAAAAgAh07iQEqOduQuAgAAJQQAAA4AAAAAAAAAAQAgAAAAKgEAAGRycy9lMm9Eb2Mu&#10;eG1sUEsFBgAAAAAGAAYAWQEAAMoFAAAAAA==&#10;">
                <v:fill on="f" focussize="0,0"/>
                <v:stroke weight="1pt" color="#000000 [3213]" miterlimit="8" joinstyle="miter" endarrow="open"/>
                <v:imagedata o:title=""/>
                <o:lock v:ext="edit" aspectratio="f"/>
              </v:shape>
            </w:pict>
          </mc:Fallback>
        </mc:AlternateContent>
      </w:r>
      <w:r>
        <w:rPr>
          <w:rFonts w:hint="default" w:ascii="Times New Roman Italic" w:hAnsi="Times New Roman Italic" w:cs="Times New Roman Italic"/>
          <w:i/>
          <w:iCs/>
          <w:color w:val="auto"/>
          <w:sz w:val="24"/>
        </w:rPr>
        <mc:AlternateContent>
          <mc:Choice Requires="wps">
            <w:drawing>
              <wp:anchor distT="0" distB="0" distL="114300" distR="114300" simplePos="0" relativeHeight="251664384" behindDoc="0" locked="0" layoutInCell="1" allowOverlap="1">
                <wp:simplePos x="0" y="0"/>
                <wp:positionH relativeFrom="column">
                  <wp:posOffset>1141095</wp:posOffset>
                </wp:positionH>
                <wp:positionV relativeFrom="paragraph">
                  <wp:posOffset>2500630</wp:posOffset>
                </wp:positionV>
                <wp:extent cx="1080135" cy="8890"/>
                <wp:effectExtent l="0" t="42545" r="12065" b="50165"/>
                <wp:wrapNone/>
                <wp:docPr id="28" name="直接箭头连接符 28"/>
                <wp:cNvGraphicFramePr/>
                <a:graphic xmlns:a="http://schemas.openxmlformats.org/drawingml/2006/main">
                  <a:graphicData uri="http://schemas.microsoft.com/office/word/2010/wordprocessingShape">
                    <wps:wsp>
                      <wps:cNvCnPr>
                        <a:stCxn id="19" idx="3"/>
                        <a:endCxn id="25" idx="1"/>
                      </wps:cNvCnPr>
                      <wps:spPr>
                        <a:xfrm>
                          <a:off x="2687320" y="8506460"/>
                          <a:ext cx="1080135" cy="889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89.85pt;margin-top:196.9pt;height:0.7pt;width:85.05pt;z-index:251664384;mso-width-relative:page;mso-height-relative:page;" filled="f" stroked="t" coordsize="21600,21600" o:gfxdata="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5+joBNcAAAALAQAADwAAAAAAAAABACAAAAAiAAAAZHJzL2Rvd25yZXYu&#10;eG1sUEsBAhQAFAAAAAgAh07iQBXhVrM1AgAAMgQAAA4AAAAAAAAAAQAgAAAAJgEAAGRycy9lMm9E&#10;b2MueG1sUEsFBgAAAAAGAAYAWQEAAM0FAAAAAA==&#10;">
                <v:fill on="f" focussize="0,0"/>
                <v:stroke weight="1pt" color="#4874CB [3204]" miterlimit="8" joinstyle="miter" endarrow="open"/>
                <v:imagedata o:title=""/>
                <o:lock v:ext="edit" aspectratio="f"/>
              </v:shape>
            </w:pict>
          </mc:Fallback>
        </mc:AlternateContent>
      </w:r>
      <w:r>
        <w:rPr>
          <w:rFonts w:hint="default" w:ascii="Times New Roman Italic" w:hAnsi="Times New Roman Italic" w:cs="Times New Roman Italic"/>
          <w:i/>
          <w:iCs/>
          <w:color w:val="auto"/>
          <w:sz w:val="24"/>
        </w:rPr>
        <mc:AlternateContent>
          <mc:Choice Requires="wps">
            <w:drawing>
              <wp:anchor distT="0" distB="0" distL="114300" distR="114300" simplePos="0" relativeHeight="251663360" behindDoc="0" locked="0" layoutInCell="1" allowOverlap="1">
                <wp:simplePos x="0" y="0"/>
                <wp:positionH relativeFrom="column">
                  <wp:posOffset>2714625</wp:posOffset>
                </wp:positionH>
                <wp:positionV relativeFrom="paragraph">
                  <wp:posOffset>1219835</wp:posOffset>
                </wp:positionV>
                <wp:extent cx="7620" cy="948690"/>
                <wp:effectExtent l="43815" t="0" r="50165" b="16510"/>
                <wp:wrapNone/>
                <wp:docPr id="27" name="直接箭头连接符 27"/>
                <wp:cNvGraphicFramePr/>
                <a:graphic xmlns:a="http://schemas.openxmlformats.org/drawingml/2006/main">
                  <a:graphicData uri="http://schemas.microsoft.com/office/word/2010/wordprocessingShape">
                    <wps:wsp>
                      <wps:cNvCnPr>
                        <a:stCxn id="22" idx="2"/>
                        <a:endCxn id="25" idx="0"/>
                      </wps:cNvCnPr>
                      <wps:spPr>
                        <a:xfrm>
                          <a:off x="4126230" y="7463155"/>
                          <a:ext cx="7620" cy="94869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13.75pt;margin-top:96.05pt;height:74.7pt;width:0.6pt;z-index:251663360;mso-width-relative:page;mso-height-relative:page;" filled="f" stroked="t" coordsize="21600,21600" o:gfxdata="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YCBrfZAAAACwEAAA8AAAAAAAAAAQAgAAAAIgAAAGRycy9kb3ducmV2LnhtbFBL&#10;AQIUABQAAAAIAIdO4kC9habaLgIAADEEAAAOAAAAAAAAAAEAIAAAACgBAABkcnMvZTJvRG9jLnht&#10;bFBLBQYAAAAABgAGAFkBAADIBQAAAAA=&#10;">
                <v:fill on="f" focussize="0,0"/>
                <v:stroke weight="1pt" color="#000000 [3213]" miterlimit="8" joinstyle="miter" endarrow="open"/>
                <v:imagedata o:title=""/>
                <o:lock v:ext="edit" aspectratio="f"/>
              </v:shape>
            </w:pict>
          </mc:Fallback>
        </mc:AlternateContent>
      </w:r>
      <w:r>
        <w:rPr>
          <w:rFonts w:hint="default" w:ascii="Times New Roman Italic" w:hAnsi="Times New Roman Italic" w:eastAsia="宋体" w:cs="Times New Roman Italic"/>
          <w:bCs w:val="0"/>
          <w:i/>
          <w:iCs/>
          <w:color w:val="auto"/>
          <w:spacing w:val="-2"/>
          <w:lang w:val="en-US" w:eastAsia="zh-CN"/>
        </w:rPr>
        <w:t>Figure 2 Research Framework</w:t>
      </w:r>
      <w:bookmarkStart w:id="82" w:name="_Toc202552658"/>
      <w:bookmarkStart w:id="83" w:name="_Toc21855"/>
      <w:bookmarkStart w:id="84" w:name="_Toc201079593"/>
      <w:bookmarkStart w:id="85" w:name="_Toc212728557"/>
      <w:bookmarkStart w:id="86" w:name="_Toc216969527"/>
      <w:bookmarkStart w:id="87" w:name="OLE_LINK206"/>
    </w:p>
    <w:p w14:paraId="07C04351">
      <w:pPr>
        <w:pStyle w:val="59"/>
        <w:numPr>
          <w:ilvl w:val="0"/>
          <w:numId w:val="0"/>
        </w:numPr>
        <w:spacing w:after="468"/>
        <w:ind w:leftChars="0"/>
        <w:jc w:val="center"/>
      </w:pPr>
    </w:p>
    <w:p w14:paraId="45925E8E">
      <w:pPr>
        <w:pStyle w:val="59"/>
        <w:numPr>
          <w:ilvl w:val="0"/>
          <w:numId w:val="0"/>
        </w:numPr>
        <w:spacing w:after="468"/>
        <w:ind w:leftChars="0"/>
        <w:jc w:val="center"/>
      </w:pPr>
    </w:p>
    <w:p w14:paraId="7FAB3C46">
      <w:pPr>
        <w:pStyle w:val="59"/>
        <w:numPr>
          <w:ilvl w:val="0"/>
          <w:numId w:val="0"/>
        </w:numPr>
        <w:spacing w:after="468"/>
        <w:ind w:leftChars="0"/>
        <w:jc w:val="center"/>
      </w:pPr>
    </w:p>
    <w:p w14:paraId="07EF84A0">
      <w:pPr>
        <w:pStyle w:val="59"/>
        <w:numPr>
          <w:ilvl w:val="0"/>
          <w:numId w:val="0"/>
        </w:numPr>
        <w:spacing w:after="468"/>
        <w:ind w:leftChars="0"/>
        <w:jc w:val="center"/>
      </w:pPr>
    </w:p>
    <w:p w14:paraId="7662106A">
      <w:pPr>
        <w:pStyle w:val="59"/>
        <w:numPr>
          <w:ilvl w:val="0"/>
          <w:numId w:val="0"/>
        </w:numPr>
        <w:spacing w:after="468"/>
        <w:ind w:leftChars="0"/>
        <w:jc w:val="center"/>
      </w:pPr>
    </w:p>
    <w:p w14:paraId="279D850D">
      <w:pPr>
        <w:pStyle w:val="59"/>
        <w:numPr>
          <w:ilvl w:val="0"/>
          <w:numId w:val="0"/>
        </w:numPr>
        <w:spacing w:after="468"/>
        <w:ind w:leftChars="0"/>
        <w:jc w:val="center"/>
      </w:pPr>
    </w:p>
    <w:p w14:paraId="1EE1D5E0">
      <w:pPr>
        <w:pStyle w:val="59"/>
        <w:numPr>
          <w:ilvl w:val="0"/>
          <w:numId w:val="0"/>
        </w:numPr>
        <w:spacing w:after="468"/>
        <w:ind w:leftChars="0"/>
        <w:jc w:val="center"/>
      </w:pPr>
    </w:p>
    <w:p w14:paraId="75235667">
      <w:pPr>
        <w:pStyle w:val="59"/>
        <w:numPr>
          <w:ilvl w:val="0"/>
          <w:numId w:val="0"/>
        </w:numPr>
        <w:spacing w:after="468"/>
        <w:ind w:leftChars="0"/>
        <w:jc w:val="center"/>
      </w:pPr>
    </w:p>
    <w:p w14:paraId="7E824E58">
      <w:pPr>
        <w:pStyle w:val="59"/>
        <w:numPr>
          <w:ilvl w:val="0"/>
          <w:numId w:val="0"/>
        </w:numPr>
        <w:spacing w:after="468"/>
        <w:ind w:leftChars="0"/>
        <w:jc w:val="center"/>
      </w:pPr>
    </w:p>
    <w:p w14:paraId="7D5348D4">
      <w:pPr>
        <w:pStyle w:val="59"/>
        <w:numPr>
          <w:ilvl w:val="0"/>
          <w:numId w:val="0"/>
        </w:numPr>
        <w:spacing w:after="468"/>
        <w:ind w:leftChars="0"/>
        <w:jc w:val="center"/>
      </w:pPr>
    </w:p>
    <w:p w14:paraId="338E6B73">
      <w:pPr>
        <w:pStyle w:val="59"/>
        <w:numPr>
          <w:ilvl w:val="0"/>
          <w:numId w:val="0"/>
        </w:numPr>
        <w:spacing w:after="468"/>
        <w:ind w:leftChars="0"/>
        <w:jc w:val="center"/>
      </w:pPr>
    </w:p>
    <w:p w14:paraId="44C747FE">
      <w:pPr>
        <w:pStyle w:val="59"/>
        <w:numPr>
          <w:ilvl w:val="0"/>
          <w:numId w:val="0"/>
        </w:numPr>
        <w:spacing w:after="468"/>
        <w:ind w:leftChars="0"/>
        <w:jc w:val="center"/>
      </w:pPr>
    </w:p>
    <w:p w14:paraId="1B7810CB">
      <w:pPr>
        <w:pStyle w:val="59"/>
        <w:numPr>
          <w:ilvl w:val="0"/>
          <w:numId w:val="0"/>
        </w:numPr>
        <w:spacing w:after="468"/>
        <w:ind w:leftChars="0"/>
        <w:jc w:val="both"/>
      </w:pPr>
    </w:p>
    <w:p w14:paraId="61B3F703">
      <w:pPr>
        <w:pStyle w:val="59"/>
        <w:numPr>
          <w:ilvl w:val="0"/>
          <w:numId w:val="0"/>
        </w:numPr>
        <w:spacing w:after="468"/>
        <w:ind w:leftChars="0"/>
        <w:jc w:val="both"/>
      </w:pPr>
      <w:r>
        <w:t xml:space="preserve">DATA ANALYSIS AND </w:t>
      </w:r>
      <w:bookmarkEnd w:id="82"/>
      <w:bookmarkEnd w:id="83"/>
      <w:bookmarkEnd w:id="84"/>
      <w:bookmarkEnd w:id="85"/>
      <w:r>
        <w:t>RESULTS</w:t>
      </w:r>
      <w:bookmarkEnd w:id="86"/>
    </w:p>
    <w:bookmarkEnd w:id="87"/>
    <w:p w14:paraId="7535EC34">
      <w:pPr>
        <w:pStyle w:val="3"/>
        <w:numPr>
          <w:ilvl w:val="1"/>
          <w:numId w:val="0"/>
        </w:numPr>
        <w:ind w:leftChars="0"/>
      </w:pPr>
      <w:bookmarkStart w:id="88" w:name="_Toc212728559"/>
      <w:bookmarkStart w:id="89" w:name="_Toc201079595"/>
      <w:bookmarkStart w:id="90" w:name="_Toc216969529"/>
      <w:bookmarkStart w:id="91" w:name="_Toc31371"/>
      <w:bookmarkStart w:id="92" w:name="_Toc202552660"/>
      <w:r>
        <w:t>Descriptive Statistics</w:t>
      </w:r>
      <w:bookmarkEnd w:id="88"/>
      <w:bookmarkEnd w:id="89"/>
      <w:bookmarkEnd w:id="90"/>
      <w:bookmarkEnd w:id="91"/>
      <w:bookmarkEnd w:id="92"/>
    </w:p>
    <w:p w14:paraId="705F2687">
      <w:pPr>
        <w:pStyle w:val="22"/>
        <w:keepNext w:val="0"/>
        <w:keepLines w:val="0"/>
        <w:widowControl/>
        <w:suppressLineNumbers w:val="0"/>
        <w:spacing w:beforeAutospacing="1" w:afterAutospacing="1"/>
        <w:ind w:left="0" w:firstLine="0"/>
        <w:rPr>
          <w:i w:val="0"/>
          <w:iCs w:val="0"/>
          <w:caps w:val="0"/>
          <w:color w:val="000000"/>
          <w:spacing w:val="0"/>
          <w:u w:val="none"/>
        </w:rPr>
      </w:pPr>
      <w:bookmarkStart w:id="93" w:name="_Toc216867792"/>
      <w:r>
        <w:rPr>
          <w:i w:val="0"/>
          <w:iCs w:val="0"/>
          <w:caps w:val="0"/>
          <w:color w:val="000000"/>
          <w:spacing w:val="0"/>
          <w:u w:val="none"/>
        </w:rPr>
        <w:t>Using annual panel data for 13 Asian economies (2000–2024), this section reports descriptive statistics (Table 4.2-2) and the Pearson correlation matrix (Table 4.2-1). The key explanatory variable TEI_agri has a mean of 62.64 (SD = 54.69; max = 321.68), indicating substantial cross-country and intertemporal variation in typhoon intensity. The mediator GCF averages 29.23% of GDP, suggesting relatively high investment intensity. Outcome variables show notable heterogeneity: mean GDP growth is 5.29%, unemployment averages 3.36% (max nearly 9%), agricultural value-added growth is 14.53%, FDI/GDP is 2.23%, and inflation is 5.44%. Controls include trade openness (mean 70.25%), population growth (0.92%), and urbanization (ln urban population, 17.36). Overall, the dispersion across countries and years provides sufficient identifying variation for subsequent fixed-effects regressions and mediation tests.</w:t>
      </w:r>
    </w:p>
    <w:p w14:paraId="504F5913">
      <w:pPr>
        <w:pStyle w:val="7"/>
      </w:pPr>
      <w:r>
        <w:t>Table</w:t>
      </w:r>
      <w:r>
        <w:rPr>
          <w:rFonts w:hint="eastAsia" w:eastAsia="宋体"/>
          <w:lang w:val="en-US" w:eastAsia="zh-CN"/>
        </w:rPr>
        <w:t>3</w:t>
      </w:r>
      <w:r>
        <w:t xml:space="preserve"> Descriptive Statistics</w:t>
      </w:r>
      <w:bookmarkEnd w:id="93"/>
    </w:p>
    <w:tbl>
      <w:tblPr>
        <w:tblStyle w:val="25"/>
        <w:tblW w:w="4934"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82"/>
        <w:gridCol w:w="1464"/>
        <w:gridCol w:w="290"/>
        <w:gridCol w:w="2192"/>
        <w:gridCol w:w="1897"/>
      </w:tblGrid>
      <w:tr w14:paraId="2A910ED4">
        <w:trPr>
          <w:trHeight w:val="679" w:hRule="atLeast"/>
          <w:jc w:val="center"/>
        </w:trPr>
        <w:tc>
          <w:tcPr>
            <w:tcW w:w="1490" w:type="pct"/>
            <w:tcBorders>
              <w:top w:val="single" w:color="auto" w:sz="4" w:space="0"/>
              <w:left w:val="nil"/>
              <w:bottom w:val="single" w:color="auto" w:sz="4" w:space="0"/>
              <w:right w:val="nil"/>
            </w:tcBorders>
          </w:tcPr>
          <w:p w14:paraId="0F19092B">
            <w:pPr>
              <w:jc w:val="center"/>
              <w:rPr>
                <w:rFonts w:cs="Times New Roman"/>
                <w:b/>
                <w:color w:val="000000"/>
                <w:sz w:val="20"/>
                <w:szCs w:val="20"/>
              </w:rPr>
            </w:pPr>
            <w:r>
              <w:rPr>
                <w:rFonts w:cs="Times New Roman"/>
                <w:b/>
                <w:color w:val="000000"/>
                <w:sz w:val="20"/>
                <w:szCs w:val="20"/>
              </w:rPr>
              <w:t>Variables</w:t>
            </w:r>
          </w:p>
        </w:tc>
        <w:tc>
          <w:tcPr>
            <w:tcW w:w="1053" w:type="pct"/>
            <w:gridSpan w:val="2"/>
            <w:tcBorders>
              <w:top w:val="single" w:color="auto" w:sz="4" w:space="0"/>
              <w:left w:val="nil"/>
              <w:bottom w:val="single" w:color="auto" w:sz="4" w:space="0"/>
              <w:right w:val="nil"/>
            </w:tcBorders>
          </w:tcPr>
          <w:p w14:paraId="4E81733D">
            <w:pPr>
              <w:jc w:val="center"/>
              <w:rPr>
                <w:rFonts w:cs="Times New Roman"/>
                <w:b/>
                <w:color w:val="000000"/>
                <w:sz w:val="20"/>
                <w:szCs w:val="20"/>
              </w:rPr>
            </w:pPr>
            <w:r>
              <w:rPr>
                <w:rFonts w:cs="Times New Roman"/>
                <w:b/>
                <w:color w:val="000000"/>
                <w:sz w:val="20"/>
                <w:szCs w:val="20"/>
              </w:rPr>
              <w:t>Mean</w:t>
            </w:r>
          </w:p>
        </w:tc>
        <w:tc>
          <w:tcPr>
            <w:tcW w:w="1315" w:type="pct"/>
            <w:tcBorders>
              <w:top w:val="single" w:color="auto" w:sz="4" w:space="0"/>
              <w:left w:val="nil"/>
              <w:bottom w:val="single" w:color="auto" w:sz="4" w:space="0"/>
              <w:right w:val="nil"/>
            </w:tcBorders>
          </w:tcPr>
          <w:p w14:paraId="572EC2FA">
            <w:pPr>
              <w:jc w:val="center"/>
              <w:rPr>
                <w:rFonts w:cs="Times New Roman"/>
                <w:b/>
                <w:color w:val="000000"/>
                <w:sz w:val="20"/>
                <w:szCs w:val="20"/>
              </w:rPr>
            </w:pPr>
            <w:r>
              <w:rPr>
                <w:rFonts w:cs="Times New Roman"/>
                <w:b/>
                <w:color w:val="000000"/>
                <w:sz w:val="20"/>
                <w:szCs w:val="20"/>
              </w:rPr>
              <w:t>Std. dev</w:t>
            </w:r>
          </w:p>
        </w:tc>
        <w:tc>
          <w:tcPr>
            <w:tcW w:w="1139" w:type="pct"/>
            <w:tcBorders>
              <w:top w:val="single" w:color="auto" w:sz="4" w:space="0"/>
              <w:left w:val="nil"/>
              <w:bottom w:val="single" w:color="auto" w:sz="4" w:space="0"/>
              <w:right w:val="nil"/>
            </w:tcBorders>
          </w:tcPr>
          <w:p w14:paraId="37FAC62A">
            <w:pPr>
              <w:jc w:val="center"/>
              <w:rPr>
                <w:rFonts w:cs="Times New Roman"/>
                <w:b/>
                <w:color w:val="000000"/>
                <w:sz w:val="20"/>
                <w:szCs w:val="20"/>
              </w:rPr>
            </w:pPr>
            <w:r>
              <w:rPr>
                <w:rFonts w:cs="Times New Roman"/>
                <w:b/>
                <w:color w:val="000000"/>
                <w:sz w:val="20"/>
                <w:szCs w:val="20"/>
              </w:rPr>
              <w:t>Observation</w:t>
            </w:r>
          </w:p>
        </w:tc>
      </w:tr>
      <w:tr w14:paraId="04EA197C">
        <w:trPr>
          <w:trHeight w:val="26" w:hRule="exact"/>
          <w:jc w:val="center"/>
        </w:trPr>
        <w:tc>
          <w:tcPr>
            <w:tcW w:w="1490" w:type="pct"/>
            <w:tcBorders>
              <w:top w:val="single" w:color="auto" w:sz="4" w:space="0"/>
              <w:left w:val="nil"/>
              <w:bottom w:val="nil"/>
              <w:right w:val="nil"/>
            </w:tcBorders>
          </w:tcPr>
          <w:p w14:paraId="19F29F21">
            <w:pPr>
              <w:jc w:val="center"/>
              <w:rPr>
                <w:rFonts w:cs="Times New Roman"/>
                <w:color w:val="000000"/>
                <w:sz w:val="20"/>
                <w:szCs w:val="20"/>
              </w:rPr>
            </w:pPr>
          </w:p>
        </w:tc>
        <w:tc>
          <w:tcPr>
            <w:tcW w:w="879" w:type="pct"/>
            <w:tcBorders>
              <w:top w:val="single" w:color="auto" w:sz="4" w:space="0"/>
              <w:left w:val="nil"/>
              <w:bottom w:val="nil"/>
              <w:right w:val="nil"/>
            </w:tcBorders>
          </w:tcPr>
          <w:p w14:paraId="0BCF6CBD">
            <w:pPr>
              <w:jc w:val="center"/>
              <w:rPr>
                <w:rFonts w:cs="Times New Roman"/>
                <w:color w:val="000000"/>
                <w:sz w:val="20"/>
                <w:szCs w:val="20"/>
              </w:rPr>
            </w:pPr>
          </w:p>
        </w:tc>
        <w:tc>
          <w:tcPr>
            <w:tcW w:w="1490" w:type="pct"/>
            <w:gridSpan w:val="2"/>
            <w:tcBorders>
              <w:top w:val="single" w:color="auto" w:sz="4" w:space="0"/>
              <w:left w:val="nil"/>
              <w:bottom w:val="nil"/>
              <w:right w:val="nil"/>
            </w:tcBorders>
          </w:tcPr>
          <w:p w14:paraId="2F8B4788">
            <w:pPr>
              <w:jc w:val="center"/>
              <w:rPr>
                <w:rFonts w:cs="Times New Roman"/>
                <w:color w:val="000000"/>
                <w:sz w:val="20"/>
                <w:szCs w:val="20"/>
              </w:rPr>
            </w:pPr>
          </w:p>
        </w:tc>
        <w:tc>
          <w:tcPr>
            <w:tcW w:w="1139" w:type="pct"/>
            <w:tcBorders>
              <w:top w:val="single" w:color="auto" w:sz="4" w:space="0"/>
              <w:left w:val="nil"/>
              <w:bottom w:val="nil"/>
              <w:right w:val="nil"/>
            </w:tcBorders>
          </w:tcPr>
          <w:p w14:paraId="0D440114">
            <w:pPr>
              <w:jc w:val="center"/>
              <w:rPr>
                <w:rFonts w:cs="Times New Roman"/>
                <w:color w:val="000000"/>
                <w:sz w:val="20"/>
                <w:szCs w:val="20"/>
              </w:rPr>
            </w:pPr>
          </w:p>
        </w:tc>
      </w:tr>
      <w:tr w14:paraId="02AE09BF">
        <w:trPr>
          <w:trHeight w:val="705" w:hRule="atLeast"/>
          <w:jc w:val="center"/>
        </w:trPr>
        <w:tc>
          <w:tcPr>
            <w:tcW w:w="1490" w:type="pct"/>
            <w:tcBorders>
              <w:top w:val="nil"/>
              <w:left w:val="nil"/>
              <w:bottom w:val="nil"/>
              <w:right w:val="nil"/>
            </w:tcBorders>
          </w:tcPr>
          <w:p w14:paraId="23E06CE3">
            <w:pPr>
              <w:jc w:val="center"/>
              <w:rPr>
                <w:rFonts w:cs="Times New Roman"/>
                <w:b/>
                <w:bCs w:val="0"/>
                <w:color w:val="000000"/>
                <w:sz w:val="20"/>
                <w:szCs w:val="20"/>
              </w:rPr>
            </w:pPr>
            <w:r>
              <w:rPr>
                <w:rFonts w:cs="Times New Roman"/>
                <w:b/>
                <w:bCs w:val="0"/>
                <w:color w:val="000000"/>
                <w:sz w:val="20"/>
                <w:szCs w:val="20"/>
              </w:rPr>
              <w:t>TEI_agri</w:t>
            </w:r>
          </w:p>
        </w:tc>
        <w:tc>
          <w:tcPr>
            <w:tcW w:w="879" w:type="pct"/>
            <w:tcBorders>
              <w:top w:val="nil"/>
              <w:left w:val="nil"/>
              <w:bottom w:val="nil"/>
              <w:right w:val="nil"/>
            </w:tcBorders>
          </w:tcPr>
          <w:p w14:paraId="73BDF4D6">
            <w:pPr>
              <w:jc w:val="center"/>
              <w:rPr>
                <w:rFonts w:cs="Times New Roman"/>
                <w:color w:val="000000"/>
                <w:sz w:val="20"/>
                <w:szCs w:val="20"/>
              </w:rPr>
            </w:pPr>
            <w:r>
              <w:rPr>
                <w:rFonts w:cs="Times New Roman"/>
                <w:color w:val="000000"/>
                <w:sz w:val="20"/>
                <w:szCs w:val="20"/>
              </w:rPr>
              <w:t>62.63876</w:t>
            </w:r>
          </w:p>
        </w:tc>
        <w:tc>
          <w:tcPr>
            <w:tcW w:w="1490" w:type="pct"/>
            <w:gridSpan w:val="2"/>
            <w:tcBorders>
              <w:top w:val="nil"/>
              <w:left w:val="nil"/>
              <w:bottom w:val="nil"/>
              <w:right w:val="nil"/>
            </w:tcBorders>
          </w:tcPr>
          <w:p w14:paraId="5966B4AB">
            <w:pPr>
              <w:jc w:val="center"/>
              <w:rPr>
                <w:rFonts w:cs="Times New Roman"/>
                <w:color w:val="000000"/>
                <w:sz w:val="20"/>
                <w:szCs w:val="20"/>
              </w:rPr>
            </w:pPr>
            <w:r>
              <w:rPr>
                <w:rFonts w:cs="Times New Roman"/>
                <w:color w:val="000000"/>
                <w:sz w:val="20"/>
                <w:szCs w:val="20"/>
              </w:rPr>
              <w:t>54.69157</w:t>
            </w:r>
          </w:p>
        </w:tc>
        <w:tc>
          <w:tcPr>
            <w:tcW w:w="1139" w:type="pct"/>
            <w:tcBorders>
              <w:top w:val="nil"/>
              <w:left w:val="nil"/>
              <w:bottom w:val="nil"/>
              <w:right w:val="nil"/>
            </w:tcBorders>
          </w:tcPr>
          <w:p w14:paraId="542DF8C9">
            <w:pPr>
              <w:jc w:val="center"/>
              <w:rPr>
                <w:rFonts w:cs="Times New Roman"/>
                <w:color w:val="000000"/>
                <w:sz w:val="20"/>
                <w:szCs w:val="20"/>
              </w:rPr>
            </w:pPr>
            <w:r>
              <w:rPr>
                <w:rFonts w:cs="Times New Roman"/>
                <w:color w:val="000000"/>
                <w:sz w:val="20"/>
                <w:szCs w:val="20"/>
              </w:rPr>
              <w:t>325</w:t>
            </w:r>
          </w:p>
        </w:tc>
      </w:tr>
      <w:tr w14:paraId="5EE948FF">
        <w:trPr>
          <w:trHeight w:val="679" w:hRule="atLeast"/>
          <w:jc w:val="center"/>
        </w:trPr>
        <w:tc>
          <w:tcPr>
            <w:tcW w:w="1490" w:type="pct"/>
            <w:tcBorders>
              <w:top w:val="nil"/>
              <w:left w:val="nil"/>
              <w:bottom w:val="nil"/>
              <w:right w:val="nil"/>
            </w:tcBorders>
          </w:tcPr>
          <w:p w14:paraId="69B885E1">
            <w:pPr>
              <w:jc w:val="center"/>
              <w:rPr>
                <w:rFonts w:cs="Times New Roman"/>
                <w:b/>
                <w:bCs w:val="0"/>
                <w:color w:val="000000"/>
                <w:sz w:val="20"/>
                <w:szCs w:val="20"/>
              </w:rPr>
            </w:pPr>
            <w:r>
              <w:rPr>
                <w:rFonts w:cs="Times New Roman"/>
                <w:b/>
                <w:bCs w:val="0"/>
                <w:color w:val="000000"/>
                <w:sz w:val="20"/>
                <w:szCs w:val="20"/>
              </w:rPr>
              <w:t>GCF</w:t>
            </w:r>
          </w:p>
        </w:tc>
        <w:tc>
          <w:tcPr>
            <w:tcW w:w="879" w:type="pct"/>
            <w:tcBorders>
              <w:top w:val="nil"/>
              <w:left w:val="nil"/>
              <w:bottom w:val="nil"/>
              <w:right w:val="nil"/>
            </w:tcBorders>
          </w:tcPr>
          <w:p w14:paraId="66F4E9FF">
            <w:pPr>
              <w:jc w:val="center"/>
              <w:rPr>
                <w:rFonts w:cs="Times New Roman"/>
                <w:color w:val="000000"/>
                <w:sz w:val="20"/>
                <w:szCs w:val="20"/>
              </w:rPr>
            </w:pPr>
            <w:r>
              <w:rPr>
                <w:rFonts w:cs="Times New Roman"/>
                <w:color w:val="000000"/>
                <w:sz w:val="20"/>
                <w:szCs w:val="20"/>
              </w:rPr>
              <w:t>29.23325</w:t>
            </w:r>
          </w:p>
        </w:tc>
        <w:tc>
          <w:tcPr>
            <w:tcW w:w="1490" w:type="pct"/>
            <w:gridSpan w:val="2"/>
            <w:tcBorders>
              <w:top w:val="nil"/>
              <w:left w:val="nil"/>
              <w:bottom w:val="nil"/>
              <w:right w:val="nil"/>
            </w:tcBorders>
          </w:tcPr>
          <w:p w14:paraId="5CC1C3A3">
            <w:pPr>
              <w:jc w:val="center"/>
              <w:rPr>
                <w:rFonts w:cs="Times New Roman"/>
                <w:color w:val="000000"/>
                <w:sz w:val="20"/>
                <w:szCs w:val="20"/>
              </w:rPr>
            </w:pPr>
            <w:r>
              <w:rPr>
                <w:rFonts w:cs="Times New Roman"/>
                <w:color w:val="000000"/>
                <w:sz w:val="20"/>
                <w:szCs w:val="20"/>
              </w:rPr>
              <w:t>6.7144</w:t>
            </w:r>
          </w:p>
        </w:tc>
        <w:tc>
          <w:tcPr>
            <w:tcW w:w="1139" w:type="pct"/>
            <w:tcBorders>
              <w:top w:val="nil"/>
              <w:left w:val="nil"/>
              <w:bottom w:val="nil"/>
              <w:right w:val="nil"/>
            </w:tcBorders>
          </w:tcPr>
          <w:p w14:paraId="107B228E">
            <w:pPr>
              <w:jc w:val="center"/>
              <w:rPr>
                <w:rFonts w:cs="Times New Roman"/>
                <w:color w:val="000000"/>
                <w:sz w:val="20"/>
                <w:szCs w:val="20"/>
              </w:rPr>
            </w:pPr>
            <w:r>
              <w:rPr>
                <w:rFonts w:cs="Times New Roman"/>
                <w:color w:val="000000"/>
                <w:sz w:val="20"/>
                <w:szCs w:val="20"/>
              </w:rPr>
              <w:t>325</w:t>
            </w:r>
          </w:p>
        </w:tc>
      </w:tr>
      <w:tr w14:paraId="6E6760E1">
        <w:trPr>
          <w:trHeight w:val="679" w:hRule="atLeast"/>
          <w:jc w:val="center"/>
        </w:trPr>
        <w:tc>
          <w:tcPr>
            <w:tcW w:w="1490" w:type="pct"/>
            <w:tcBorders>
              <w:top w:val="nil"/>
              <w:left w:val="nil"/>
              <w:bottom w:val="nil"/>
              <w:right w:val="nil"/>
            </w:tcBorders>
          </w:tcPr>
          <w:p w14:paraId="36A24D4F">
            <w:pPr>
              <w:jc w:val="center"/>
              <w:rPr>
                <w:rFonts w:cs="Times New Roman"/>
                <w:b/>
                <w:bCs w:val="0"/>
                <w:color w:val="000000"/>
                <w:sz w:val="20"/>
                <w:szCs w:val="20"/>
              </w:rPr>
            </w:pPr>
            <w:r>
              <w:rPr>
                <w:rFonts w:cs="Times New Roman"/>
                <w:b/>
                <w:bCs w:val="0"/>
                <w:color w:val="000000"/>
                <w:sz w:val="20"/>
                <w:szCs w:val="20"/>
              </w:rPr>
              <w:t>GDP</w:t>
            </w:r>
          </w:p>
        </w:tc>
        <w:tc>
          <w:tcPr>
            <w:tcW w:w="879" w:type="pct"/>
            <w:tcBorders>
              <w:top w:val="nil"/>
              <w:left w:val="nil"/>
              <w:bottom w:val="nil"/>
              <w:right w:val="nil"/>
            </w:tcBorders>
          </w:tcPr>
          <w:p w14:paraId="0B7C8E0B">
            <w:pPr>
              <w:jc w:val="center"/>
              <w:rPr>
                <w:rFonts w:cs="Times New Roman"/>
                <w:color w:val="000000"/>
                <w:sz w:val="20"/>
                <w:szCs w:val="20"/>
              </w:rPr>
            </w:pPr>
            <w:r>
              <w:rPr>
                <w:rFonts w:cs="Times New Roman"/>
                <w:color w:val="000000"/>
                <w:sz w:val="20"/>
                <w:szCs w:val="20"/>
              </w:rPr>
              <w:t>5.289366</w:t>
            </w:r>
          </w:p>
        </w:tc>
        <w:tc>
          <w:tcPr>
            <w:tcW w:w="1490" w:type="pct"/>
            <w:gridSpan w:val="2"/>
            <w:tcBorders>
              <w:top w:val="nil"/>
              <w:left w:val="nil"/>
              <w:bottom w:val="nil"/>
              <w:right w:val="nil"/>
            </w:tcBorders>
          </w:tcPr>
          <w:p w14:paraId="4461F444">
            <w:pPr>
              <w:jc w:val="center"/>
              <w:rPr>
                <w:rFonts w:cs="Times New Roman"/>
                <w:color w:val="000000"/>
                <w:sz w:val="20"/>
                <w:szCs w:val="20"/>
              </w:rPr>
            </w:pPr>
            <w:r>
              <w:rPr>
                <w:rFonts w:cs="Times New Roman"/>
                <w:color w:val="000000"/>
                <w:sz w:val="20"/>
                <w:szCs w:val="20"/>
              </w:rPr>
              <w:t>3.623612</w:t>
            </w:r>
          </w:p>
        </w:tc>
        <w:tc>
          <w:tcPr>
            <w:tcW w:w="1139" w:type="pct"/>
            <w:tcBorders>
              <w:top w:val="nil"/>
              <w:left w:val="nil"/>
              <w:bottom w:val="nil"/>
              <w:right w:val="nil"/>
            </w:tcBorders>
          </w:tcPr>
          <w:p w14:paraId="7CE4BE59">
            <w:pPr>
              <w:jc w:val="center"/>
              <w:rPr>
                <w:rFonts w:cs="Times New Roman"/>
                <w:color w:val="000000"/>
                <w:sz w:val="20"/>
                <w:szCs w:val="20"/>
              </w:rPr>
            </w:pPr>
            <w:r>
              <w:rPr>
                <w:rFonts w:cs="Times New Roman"/>
                <w:color w:val="000000"/>
                <w:sz w:val="20"/>
                <w:szCs w:val="20"/>
              </w:rPr>
              <w:t>325</w:t>
            </w:r>
          </w:p>
        </w:tc>
      </w:tr>
      <w:tr w14:paraId="1A378BFC">
        <w:trPr>
          <w:trHeight w:val="705" w:hRule="atLeast"/>
          <w:jc w:val="center"/>
        </w:trPr>
        <w:tc>
          <w:tcPr>
            <w:tcW w:w="1490" w:type="pct"/>
            <w:tcBorders>
              <w:top w:val="nil"/>
              <w:left w:val="nil"/>
              <w:bottom w:val="nil"/>
              <w:right w:val="nil"/>
            </w:tcBorders>
          </w:tcPr>
          <w:p w14:paraId="0EFC7E05">
            <w:pPr>
              <w:jc w:val="center"/>
              <w:rPr>
                <w:rFonts w:cs="Times New Roman"/>
                <w:b/>
                <w:bCs w:val="0"/>
                <w:color w:val="000000"/>
                <w:sz w:val="20"/>
                <w:szCs w:val="20"/>
              </w:rPr>
            </w:pPr>
            <w:r>
              <w:rPr>
                <w:rFonts w:cs="Times New Roman"/>
                <w:b/>
                <w:bCs w:val="0"/>
                <w:color w:val="000000"/>
                <w:sz w:val="20"/>
                <w:szCs w:val="20"/>
              </w:rPr>
              <w:t>UE</w:t>
            </w:r>
          </w:p>
        </w:tc>
        <w:tc>
          <w:tcPr>
            <w:tcW w:w="879" w:type="pct"/>
            <w:tcBorders>
              <w:top w:val="nil"/>
              <w:left w:val="nil"/>
              <w:bottom w:val="nil"/>
              <w:right w:val="nil"/>
            </w:tcBorders>
          </w:tcPr>
          <w:p w14:paraId="077B370C">
            <w:pPr>
              <w:jc w:val="center"/>
              <w:rPr>
                <w:rFonts w:cs="Times New Roman"/>
                <w:color w:val="000000"/>
                <w:sz w:val="20"/>
                <w:szCs w:val="20"/>
              </w:rPr>
            </w:pPr>
            <w:r>
              <w:rPr>
                <w:rFonts w:cs="Times New Roman"/>
                <w:color w:val="000000"/>
                <w:sz w:val="20"/>
                <w:szCs w:val="20"/>
              </w:rPr>
              <w:t>3.35652</w:t>
            </w:r>
          </w:p>
        </w:tc>
        <w:tc>
          <w:tcPr>
            <w:tcW w:w="1490" w:type="pct"/>
            <w:gridSpan w:val="2"/>
            <w:tcBorders>
              <w:top w:val="nil"/>
              <w:left w:val="nil"/>
              <w:bottom w:val="nil"/>
              <w:right w:val="nil"/>
            </w:tcBorders>
          </w:tcPr>
          <w:p w14:paraId="1CFB87CD">
            <w:pPr>
              <w:jc w:val="center"/>
              <w:rPr>
                <w:rFonts w:cs="Times New Roman"/>
                <w:color w:val="000000"/>
                <w:sz w:val="20"/>
                <w:szCs w:val="20"/>
              </w:rPr>
            </w:pPr>
            <w:r>
              <w:rPr>
                <w:rFonts w:cs="Times New Roman"/>
                <w:color w:val="000000"/>
                <w:sz w:val="20"/>
                <w:szCs w:val="20"/>
              </w:rPr>
              <w:t>2.118536</w:t>
            </w:r>
          </w:p>
        </w:tc>
        <w:tc>
          <w:tcPr>
            <w:tcW w:w="1139" w:type="pct"/>
            <w:tcBorders>
              <w:top w:val="nil"/>
              <w:left w:val="nil"/>
              <w:bottom w:val="nil"/>
              <w:right w:val="nil"/>
            </w:tcBorders>
          </w:tcPr>
          <w:p w14:paraId="78957F0A">
            <w:pPr>
              <w:jc w:val="center"/>
              <w:rPr>
                <w:rFonts w:cs="Times New Roman"/>
                <w:color w:val="000000"/>
                <w:sz w:val="20"/>
                <w:szCs w:val="20"/>
              </w:rPr>
            </w:pPr>
            <w:r>
              <w:rPr>
                <w:rFonts w:cs="Times New Roman"/>
                <w:color w:val="000000"/>
                <w:sz w:val="20"/>
                <w:szCs w:val="20"/>
              </w:rPr>
              <w:t>325</w:t>
            </w:r>
          </w:p>
        </w:tc>
      </w:tr>
      <w:tr w14:paraId="401126A8">
        <w:trPr>
          <w:trHeight w:val="679" w:hRule="atLeast"/>
          <w:jc w:val="center"/>
        </w:trPr>
        <w:tc>
          <w:tcPr>
            <w:tcW w:w="1490" w:type="pct"/>
            <w:tcBorders>
              <w:top w:val="nil"/>
              <w:left w:val="nil"/>
              <w:bottom w:val="nil"/>
              <w:right w:val="nil"/>
            </w:tcBorders>
          </w:tcPr>
          <w:p w14:paraId="600204DB">
            <w:pPr>
              <w:jc w:val="center"/>
              <w:rPr>
                <w:rFonts w:cs="Times New Roman"/>
                <w:b/>
                <w:bCs w:val="0"/>
                <w:color w:val="000000"/>
                <w:sz w:val="20"/>
                <w:szCs w:val="20"/>
              </w:rPr>
            </w:pPr>
            <w:r>
              <w:rPr>
                <w:rFonts w:cs="Times New Roman"/>
                <w:b/>
                <w:bCs w:val="0"/>
                <w:color w:val="000000"/>
                <w:sz w:val="20"/>
                <w:szCs w:val="20"/>
              </w:rPr>
              <w:t>AR</w:t>
            </w:r>
          </w:p>
        </w:tc>
        <w:tc>
          <w:tcPr>
            <w:tcW w:w="879" w:type="pct"/>
            <w:tcBorders>
              <w:top w:val="nil"/>
              <w:left w:val="nil"/>
              <w:bottom w:val="nil"/>
              <w:right w:val="nil"/>
            </w:tcBorders>
          </w:tcPr>
          <w:p w14:paraId="48813C3F">
            <w:pPr>
              <w:jc w:val="center"/>
              <w:rPr>
                <w:rFonts w:cs="Times New Roman"/>
                <w:color w:val="000000"/>
                <w:sz w:val="20"/>
                <w:szCs w:val="20"/>
              </w:rPr>
            </w:pPr>
            <w:r>
              <w:rPr>
                <w:rFonts w:cs="Times New Roman"/>
                <w:color w:val="000000"/>
                <w:sz w:val="20"/>
                <w:szCs w:val="20"/>
              </w:rPr>
              <w:t>14.52889</w:t>
            </w:r>
          </w:p>
        </w:tc>
        <w:tc>
          <w:tcPr>
            <w:tcW w:w="1490" w:type="pct"/>
            <w:gridSpan w:val="2"/>
            <w:tcBorders>
              <w:top w:val="nil"/>
              <w:left w:val="nil"/>
              <w:bottom w:val="nil"/>
              <w:right w:val="nil"/>
            </w:tcBorders>
          </w:tcPr>
          <w:p w14:paraId="20F10BF0">
            <w:pPr>
              <w:jc w:val="center"/>
              <w:rPr>
                <w:rFonts w:cs="Times New Roman"/>
                <w:color w:val="000000"/>
                <w:sz w:val="20"/>
                <w:szCs w:val="20"/>
              </w:rPr>
            </w:pPr>
            <w:r>
              <w:rPr>
                <w:rFonts w:cs="Times New Roman"/>
                <w:color w:val="000000"/>
                <w:sz w:val="20"/>
                <w:szCs w:val="20"/>
              </w:rPr>
              <w:t>9.802522</w:t>
            </w:r>
          </w:p>
        </w:tc>
        <w:tc>
          <w:tcPr>
            <w:tcW w:w="1139" w:type="pct"/>
            <w:tcBorders>
              <w:top w:val="nil"/>
              <w:left w:val="nil"/>
              <w:bottom w:val="nil"/>
              <w:right w:val="nil"/>
            </w:tcBorders>
          </w:tcPr>
          <w:p w14:paraId="5A63C1DD">
            <w:pPr>
              <w:jc w:val="center"/>
              <w:rPr>
                <w:rFonts w:cs="Times New Roman"/>
                <w:color w:val="000000"/>
                <w:sz w:val="20"/>
                <w:szCs w:val="20"/>
              </w:rPr>
            </w:pPr>
            <w:r>
              <w:rPr>
                <w:rFonts w:cs="Times New Roman"/>
                <w:color w:val="000000"/>
                <w:sz w:val="20"/>
                <w:szCs w:val="20"/>
              </w:rPr>
              <w:t>325</w:t>
            </w:r>
          </w:p>
        </w:tc>
      </w:tr>
      <w:tr w14:paraId="5032757F">
        <w:trPr>
          <w:trHeight w:val="679" w:hRule="atLeast"/>
          <w:jc w:val="center"/>
        </w:trPr>
        <w:tc>
          <w:tcPr>
            <w:tcW w:w="1490" w:type="pct"/>
            <w:tcBorders>
              <w:top w:val="nil"/>
              <w:left w:val="nil"/>
              <w:bottom w:val="nil"/>
              <w:right w:val="nil"/>
            </w:tcBorders>
          </w:tcPr>
          <w:p w14:paraId="6D04E008">
            <w:pPr>
              <w:jc w:val="center"/>
              <w:rPr>
                <w:rFonts w:cs="Times New Roman"/>
                <w:b/>
                <w:bCs w:val="0"/>
                <w:color w:val="000000"/>
                <w:sz w:val="20"/>
                <w:szCs w:val="20"/>
              </w:rPr>
            </w:pPr>
            <w:r>
              <w:rPr>
                <w:rFonts w:cs="Times New Roman"/>
                <w:b/>
                <w:bCs w:val="0"/>
                <w:color w:val="000000"/>
                <w:sz w:val="20"/>
                <w:szCs w:val="20"/>
              </w:rPr>
              <w:t>FDI</w:t>
            </w:r>
          </w:p>
        </w:tc>
        <w:tc>
          <w:tcPr>
            <w:tcW w:w="879" w:type="pct"/>
            <w:tcBorders>
              <w:top w:val="nil"/>
              <w:left w:val="nil"/>
              <w:bottom w:val="nil"/>
              <w:right w:val="nil"/>
            </w:tcBorders>
          </w:tcPr>
          <w:p w14:paraId="6F138D69">
            <w:pPr>
              <w:jc w:val="center"/>
              <w:rPr>
                <w:rFonts w:cs="Times New Roman"/>
                <w:color w:val="000000"/>
                <w:sz w:val="20"/>
                <w:szCs w:val="20"/>
              </w:rPr>
            </w:pPr>
            <w:r>
              <w:rPr>
                <w:rFonts w:cs="Times New Roman"/>
                <w:color w:val="000000"/>
                <w:sz w:val="20"/>
                <w:szCs w:val="20"/>
              </w:rPr>
              <w:t>2.231185</w:t>
            </w:r>
          </w:p>
        </w:tc>
        <w:tc>
          <w:tcPr>
            <w:tcW w:w="1490" w:type="pct"/>
            <w:gridSpan w:val="2"/>
            <w:tcBorders>
              <w:top w:val="nil"/>
              <w:left w:val="nil"/>
              <w:bottom w:val="nil"/>
              <w:right w:val="nil"/>
            </w:tcBorders>
          </w:tcPr>
          <w:p w14:paraId="5C24F4BF">
            <w:pPr>
              <w:jc w:val="center"/>
              <w:rPr>
                <w:rFonts w:cs="Times New Roman"/>
                <w:color w:val="000000"/>
                <w:sz w:val="20"/>
                <w:szCs w:val="20"/>
              </w:rPr>
            </w:pPr>
            <w:r>
              <w:rPr>
                <w:rFonts w:cs="Times New Roman"/>
                <w:color w:val="000000"/>
                <w:sz w:val="20"/>
                <w:szCs w:val="20"/>
              </w:rPr>
              <w:t>1.927763</w:t>
            </w:r>
          </w:p>
        </w:tc>
        <w:tc>
          <w:tcPr>
            <w:tcW w:w="1139" w:type="pct"/>
            <w:tcBorders>
              <w:top w:val="nil"/>
              <w:left w:val="nil"/>
              <w:bottom w:val="nil"/>
              <w:right w:val="nil"/>
            </w:tcBorders>
          </w:tcPr>
          <w:p w14:paraId="10CE2A1E">
            <w:pPr>
              <w:jc w:val="center"/>
              <w:rPr>
                <w:rFonts w:cs="Times New Roman"/>
                <w:color w:val="000000"/>
                <w:sz w:val="20"/>
                <w:szCs w:val="20"/>
              </w:rPr>
            </w:pPr>
            <w:r>
              <w:rPr>
                <w:rFonts w:cs="Times New Roman"/>
                <w:color w:val="000000"/>
                <w:sz w:val="20"/>
                <w:szCs w:val="20"/>
              </w:rPr>
              <w:t>325</w:t>
            </w:r>
          </w:p>
        </w:tc>
      </w:tr>
      <w:tr w14:paraId="60C61D79">
        <w:trPr>
          <w:trHeight w:val="705" w:hRule="atLeast"/>
          <w:jc w:val="center"/>
        </w:trPr>
        <w:tc>
          <w:tcPr>
            <w:tcW w:w="1490" w:type="pct"/>
            <w:tcBorders>
              <w:top w:val="nil"/>
              <w:left w:val="nil"/>
              <w:bottom w:val="nil"/>
              <w:right w:val="nil"/>
            </w:tcBorders>
          </w:tcPr>
          <w:p w14:paraId="3AD2769C">
            <w:pPr>
              <w:jc w:val="center"/>
              <w:rPr>
                <w:rFonts w:cs="Times New Roman"/>
                <w:b/>
                <w:bCs w:val="0"/>
                <w:color w:val="000000"/>
                <w:sz w:val="20"/>
                <w:szCs w:val="20"/>
              </w:rPr>
            </w:pPr>
            <w:r>
              <w:rPr>
                <w:rFonts w:cs="Times New Roman"/>
                <w:b/>
                <w:bCs w:val="0"/>
                <w:color w:val="000000"/>
                <w:sz w:val="20"/>
                <w:szCs w:val="20"/>
              </w:rPr>
              <w:t>INFLA</w:t>
            </w:r>
          </w:p>
        </w:tc>
        <w:tc>
          <w:tcPr>
            <w:tcW w:w="879" w:type="pct"/>
            <w:tcBorders>
              <w:top w:val="nil"/>
              <w:left w:val="nil"/>
              <w:bottom w:val="nil"/>
              <w:right w:val="nil"/>
            </w:tcBorders>
          </w:tcPr>
          <w:p w14:paraId="371D009C">
            <w:pPr>
              <w:jc w:val="center"/>
              <w:rPr>
                <w:rFonts w:cs="Times New Roman"/>
                <w:color w:val="000000"/>
                <w:sz w:val="20"/>
                <w:szCs w:val="20"/>
              </w:rPr>
            </w:pPr>
            <w:r>
              <w:rPr>
                <w:rFonts w:cs="Times New Roman"/>
                <w:color w:val="000000"/>
                <w:sz w:val="20"/>
                <w:szCs w:val="20"/>
              </w:rPr>
              <w:t>5.441765</w:t>
            </w:r>
          </w:p>
        </w:tc>
        <w:tc>
          <w:tcPr>
            <w:tcW w:w="1490" w:type="pct"/>
            <w:gridSpan w:val="2"/>
            <w:tcBorders>
              <w:top w:val="nil"/>
              <w:left w:val="nil"/>
              <w:bottom w:val="nil"/>
              <w:right w:val="nil"/>
            </w:tcBorders>
          </w:tcPr>
          <w:p w14:paraId="6EAD3484">
            <w:pPr>
              <w:jc w:val="center"/>
              <w:rPr>
                <w:rFonts w:cs="Times New Roman"/>
                <w:color w:val="000000"/>
                <w:sz w:val="20"/>
                <w:szCs w:val="20"/>
              </w:rPr>
            </w:pPr>
            <w:r>
              <w:rPr>
                <w:rFonts w:cs="Times New Roman"/>
                <w:color w:val="000000"/>
                <w:sz w:val="20"/>
                <w:szCs w:val="20"/>
              </w:rPr>
              <w:t>6.714908</w:t>
            </w:r>
          </w:p>
        </w:tc>
        <w:tc>
          <w:tcPr>
            <w:tcW w:w="1139" w:type="pct"/>
            <w:tcBorders>
              <w:top w:val="nil"/>
              <w:left w:val="nil"/>
              <w:bottom w:val="nil"/>
              <w:right w:val="nil"/>
            </w:tcBorders>
          </w:tcPr>
          <w:p w14:paraId="05C48F9D">
            <w:pPr>
              <w:jc w:val="center"/>
              <w:rPr>
                <w:rFonts w:cs="Times New Roman"/>
                <w:color w:val="000000"/>
                <w:sz w:val="20"/>
                <w:szCs w:val="20"/>
              </w:rPr>
            </w:pPr>
            <w:r>
              <w:rPr>
                <w:rFonts w:cs="Times New Roman"/>
                <w:color w:val="000000"/>
                <w:sz w:val="20"/>
                <w:szCs w:val="20"/>
              </w:rPr>
              <w:t>325</w:t>
            </w:r>
          </w:p>
        </w:tc>
      </w:tr>
      <w:tr w14:paraId="2ACE5D61">
        <w:trPr>
          <w:trHeight w:val="679" w:hRule="atLeast"/>
          <w:jc w:val="center"/>
        </w:trPr>
        <w:tc>
          <w:tcPr>
            <w:tcW w:w="1490" w:type="pct"/>
            <w:tcBorders>
              <w:top w:val="nil"/>
              <w:left w:val="nil"/>
              <w:bottom w:val="nil"/>
              <w:right w:val="nil"/>
            </w:tcBorders>
          </w:tcPr>
          <w:p w14:paraId="2B65A7F0">
            <w:pPr>
              <w:jc w:val="center"/>
              <w:rPr>
                <w:rFonts w:cs="Times New Roman"/>
                <w:b/>
                <w:bCs w:val="0"/>
                <w:color w:val="000000"/>
                <w:sz w:val="20"/>
                <w:szCs w:val="20"/>
              </w:rPr>
            </w:pPr>
            <w:r>
              <w:rPr>
                <w:rFonts w:cs="Times New Roman"/>
                <w:b/>
                <w:bCs w:val="0"/>
                <w:color w:val="000000"/>
                <w:sz w:val="20"/>
                <w:szCs w:val="20"/>
              </w:rPr>
              <w:t>TRADE</w:t>
            </w:r>
          </w:p>
        </w:tc>
        <w:tc>
          <w:tcPr>
            <w:tcW w:w="879" w:type="pct"/>
            <w:tcBorders>
              <w:top w:val="nil"/>
              <w:left w:val="nil"/>
              <w:bottom w:val="nil"/>
              <w:right w:val="nil"/>
            </w:tcBorders>
          </w:tcPr>
          <w:p w14:paraId="75E87B20">
            <w:pPr>
              <w:jc w:val="center"/>
              <w:rPr>
                <w:rFonts w:cs="Times New Roman"/>
                <w:color w:val="000000"/>
                <w:sz w:val="20"/>
                <w:szCs w:val="20"/>
              </w:rPr>
            </w:pPr>
            <w:r>
              <w:rPr>
                <w:rFonts w:cs="Times New Roman"/>
                <w:color w:val="000000"/>
                <w:sz w:val="20"/>
                <w:szCs w:val="20"/>
              </w:rPr>
              <w:t>70.2551</w:t>
            </w:r>
          </w:p>
        </w:tc>
        <w:tc>
          <w:tcPr>
            <w:tcW w:w="1490" w:type="pct"/>
            <w:gridSpan w:val="2"/>
            <w:tcBorders>
              <w:top w:val="nil"/>
              <w:left w:val="nil"/>
              <w:bottom w:val="nil"/>
              <w:right w:val="nil"/>
            </w:tcBorders>
          </w:tcPr>
          <w:p w14:paraId="72C86BC4">
            <w:pPr>
              <w:jc w:val="center"/>
              <w:rPr>
                <w:rFonts w:cs="Times New Roman"/>
                <w:color w:val="000000"/>
                <w:sz w:val="20"/>
                <w:szCs w:val="20"/>
              </w:rPr>
            </w:pPr>
            <w:r>
              <w:rPr>
                <w:rFonts w:cs="Times New Roman"/>
                <w:color w:val="000000"/>
                <w:sz w:val="20"/>
                <w:szCs w:val="20"/>
              </w:rPr>
              <w:t>39.40986</w:t>
            </w:r>
          </w:p>
        </w:tc>
        <w:tc>
          <w:tcPr>
            <w:tcW w:w="1139" w:type="pct"/>
            <w:tcBorders>
              <w:top w:val="nil"/>
              <w:left w:val="nil"/>
              <w:bottom w:val="nil"/>
              <w:right w:val="nil"/>
            </w:tcBorders>
          </w:tcPr>
          <w:p w14:paraId="0DDB22AF">
            <w:pPr>
              <w:jc w:val="center"/>
              <w:rPr>
                <w:rFonts w:cs="Times New Roman"/>
                <w:color w:val="000000"/>
                <w:sz w:val="20"/>
                <w:szCs w:val="20"/>
              </w:rPr>
            </w:pPr>
            <w:r>
              <w:rPr>
                <w:rFonts w:cs="Times New Roman"/>
                <w:color w:val="000000"/>
                <w:sz w:val="20"/>
                <w:szCs w:val="20"/>
              </w:rPr>
              <w:t>325</w:t>
            </w:r>
          </w:p>
        </w:tc>
      </w:tr>
      <w:tr w14:paraId="59612A28">
        <w:trPr>
          <w:trHeight w:val="679" w:hRule="atLeast"/>
          <w:jc w:val="center"/>
        </w:trPr>
        <w:tc>
          <w:tcPr>
            <w:tcW w:w="1490" w:type="pct"/>
            <w:tcBorders>
              <w:top w:val="nil"/>
              <w:left w:val="nil"/>
              <w:bottom w:val="nil"/>
              <w:right w:val="nil"/>
            </w:tcBorders>
          </w:tcPr>
          <w:p w14:paraId="49E128DB">
            <w:pPr>
              <w:jc w:val="center"/>
              <w:rPr>
                <w:rFonts w:cs="Times New Roman"/>
                <w:b/>
                <w:bCs w:val="0"/>
                <w:color w:val="000000"/>
                <w:sz w:val="20"/>
                <w:szCs w:val="20"/>
              </w:rPr>
            </w:pPr>
            <w:r>
              <w:rPr>
                <w:rFonts w:cs="Times New Roman"/>
                <w:b/>
                <w:bCs w:val="0"/>
                <w:color w:val="000000"/>
                <w:sz w:val="20"/>
                <w:szCs w:val="20"/>
              </w:rPr>
              <w:t>POP</w:t>
            </w:r>
          </w:p>
        </w:tc>
        <w:tc>
          <w:tcPr>
            <w:tcW w:w="879" w:type="pct"/>
            <w:tcBorders>
              <w:top w:val="nil"/>
              <w:left w:val="nil"/>
              <w:bottom w:val="nil"/>
              <w:right w:val="nil"/>
            </w:tcBorders>
          </w:tcPr>
          <w:p w14:paraId="5DE9327F">
            <w:pPr>
              <w:jc w:val="center"/>
              <w:rPr>
                <w:rFonts w:cs="Times New Roman"/>
                <w:color w:val="000000"/>
                <w:sz w:val="20"/>
                <w:szCs w:val="20"/>
              </w:rPr>
            </w:pPr>
            <w:r>
              <w:rPr>
                <w:rFonts w:cs="Times New Roman"/>
                <w:color w:val="000000"/>
                <w:sz w:val="20"/>
                <w:szCs w:val="20"/>
              </w:rPr>
              <w:t>0.9211415</w:t>
            </w:r>
          </w:p>
        </w:tc>
        <w:tc>
          <w:tcPr>
            <w:tcW w:w="1490" w:type="pct"/>
            <w:gridSpan w:val="2"/>
            <w:tcBorders>
              <w:top w:val="nil"/>
              <w:left w:val="nil"/>
              <w:bottom w:val="nil"/>
              <w:right w:val="nil"/>
            </w:tcBorders>
          </w:tcPr>
          <w:p w14:paraId="56432347">
            <w:pPr>
              <w:jc w:val="center"/>
              <w:rPr>
                <w:rFonts w:cs="Times New Roman"/>
                <w:color w:val="000000"/>
                <w:sz w:val="20"/>
                <w:szCs w:val="20"/>
              </w:rPr>
            </w:pPr>
            <w:r>
              <w:rPr>
                <w:rFonts w:cs="Times New Roman"/>
                <w:color w:val="000000"/>
                <w:sz w:val="20"/>
                <w:szCs w:val="20"/>
              </w:rPr>
              <w:t>0.6009391</w:t>
            </w:r>
          </w:p>
        </w:tc>
        <w:tc>
          <w:tcPr>
            <w:tcW w:w="1139" w:type="pct"/>
            <w:tcBorders>
              <w:top w:val="nil"/>
              <w:left w:val="nil"/>
              <w:bottom w:val="nil"/>
              <w:right w:val="nil"/>
            </w:tcBorders>
          </w:tcPr>
          <w:p w14:paraId="68AD3F45">
            <w:pPr>
              <w:jc w:val="center"/>
              <w:rPr>
                <w:rFonts w:cs="Times New Roman"/>
                <w:color w:val="000000"/>
                <w:sz w:val="20"/>
                <w:szCs w:val="20"/>
              </w:rPr>
            </w:pPr>
            <w:r>
              <w:rPr>
                <w:rFonts w:cs="Times New Roman"/>
                <w:color w:val="000000"/>
                <w:sz w:val="20"/>
                <w:szCs w:val="20"/>
              </w:rPr>
              <w:t>325</w:t>
            </w:r>
          </w:p>
        </w:tc>
      </w:tr>
      <w:tr w14:paraId="552D6D80">
        <w:trPr>
          <w:trHeight w:val="705" w:hRule="atLeast"/>
          <w:jc w:val="center"/>
        </w:trPr>
        <w:tc>
          <w:tcPr>
            <w:tcW w:w="1490" w:type="pct"/>
            <w:tcBorders>
              <w:top w:val="nil"/>
              <w:left w:val="nil"/>
              <w:bottom w:val="nil"/>
              <w:right w:val="nil"/>
            </w:tcBorders>
          </w:tcPr>
          <w:p w14:paraId="7F9B368A">
            <w:pPr>
              <w:jc w:val="center"/>
              <w:rPr>
                <w:rFonts w:cs="Times New Roman"/>
                <w:b/>
                <w:bCs w:val="0"/>
                <w:color w:val="000000"/>
                <w:sz w:val="20"/>
                <w:szCs w:val="20"/>
              </w:rPr>
            </w:pPr>
            <w:r>
              <w:rPr>
                <w:rFonts w:cs="Times New Roman"/>
                <w:b/>
                <w:bCs w:val="0"/>
                <w:color w:val="000000"/>
                <w:sz w:val="20"/>
                <w:szCs w:val="20"/>
              </w:rPr>
              <w:t>UP</w:t>
            </w:r>
          </w:p>
        </w:tc>
        <w:tc>
          <w:tcPr>
            <w:tcW w:w="879" w:type="pct"/>
            <w:tcBorders>
              <w:top w:val="nil"/>
              <w:left w:val="nil"/>
              <w:bottom w:val="nil"/>
              <w:right w:val="nil"/>
            </w:tcBorders>
          </w:tcPr>
          <w:p w14:paraId="00884F90">
            <w:pPr>
              <w:jc w:val="center"/>
              <w:rPr>
                <w:rFonts w:cs="Times New Roman"/>
                <w:color w:val="000000"/>
                <w:sz w:val="20"/>
                <w:szCs w:val="20"/>
              </w:rPr>
            </w:pPr>
            <w:r>
              <w:rPr>
                <w:rFonts w:cs="Times New Roman"/>
                <w:color w:val="000000"/>
                <w:sz w:val="20"/>
                <w:szCs w:val="20"/>
              </w:rPr>
              <w:t>17.36406</w:t>
            </w:r>
          </w:p>
        </w:tc>
        <w:tc>
          <w:tcPr>
            <w:tcW w:w="1490" w:type="pct"/>
            <w:gridSpan w:val="2"/>
            <w:tcBorders>
              <w:top w:val="nil"/>
              <w:left w:val="nil"/>
              <w:bottom w:val="nil"/>
              <w:right w:val="nil"/>
            </w:tcBorders>
          </w:tcPr>
          <w:p w14:paraId="0860EB5B">
            <w:pPr>
              <w:jc w:val="center"/>
              <w:rPr>
                <w:rFonts w:cs="Times New Roman"/>
                <w:color w:val="000000"/>
                <w:sz w:val="20"/>
                <w:szCs w:val="20"/>
              </w:rPr>
            </w:pPr>
            <w:r>
              <w:rPr>
                <w:rFonts w:cs="Times New Roman"/>
                <w:color w:val="000000"/>
                <w:sz w:val="20"/>
                <w:szCs w:val="20"/>
              </w:rPr>
              <w:t>1.713788</w:t>
            </w:r>
          </w:p>
        </w:tc>
        <w:tc>
          <w:tcPr>
            <w:tcW w:w="1139" w:type="pct"/>
            <w:tcBorders>
              <w:top w:val="nil"/>
              <w:left w:val="nil"/>
              <w:bottom w:val="nil"/>
              <w:right w:val="nil"/>
            </w:tcBorders>
          </w:tcPr>
          <w:p w14:paraId="0931C3B3">
            <w:pPr>
              <w:jc w:val="center"/>
              <w:rPr>
                <w:rFonts w:cs="Times New Roman"/>
                <w:color w:val="000000"/>
                <w:sz w:val="20"/>
                <w:szCs w:val="20"/>
              </w:rPr>
            </w:pPr>
            <w:r>
              <w:rPr>
                <w:rFonts w:cs="Times New Roman"/>
                <w:color w:val="000000"/>
                <w:sz w:val="20"/>
                <w:szCs w:val="20"/>
              </w:rPr>
              <w:t>325</w:t>
            </w:r>
          </w:p>
        </w:tc>
      </w:tr>
      <w:tr w14:paraId="544AFAD2">
        <w:trPr>
          <w:trHeight w:val="26" w:hRule="exact"/>
          <w:jc w:val="center"/>
        </w:trPr>
        <w:tc>
          <w:tcPr>
            <w:tcW w:w="1490" w:type="pct"/>
            <w:tcBorders>
              <w:top w:val="nil"/>
              <w:left w:val="nil"/>
              <w:bottom w:val="single" w:color="auto" w:sz="4" w:space="0"/>
              <w:right w:val="nil"/>
            </w:tcBorders>
          </w:tcPr>
          <w:p w14:paraId="014EB8CD">
            <w:pPr>
              <w:rPr>
                <w:rFonts w:cs="Times New Roman"/>
                <w:color w:val="000000"/>
                <w:sz w:val="20"/>
                <w:szCs w:val="20"/>
              </w:rPr>
            </w:pPr>
          </w:p>
        </w:tc>
        <w:tc>
          <w:tcPr>
            <w:tcW w:w="879" w:type="pct"/>
            <w:tcBorders>
              <w:top w:val="nil"/>
              <w:left w:val="nil"/>
              <w:bottom w:val="single" w:color="auto" w:sz="4" w:space="0"/>
              <w:right w:val="nil"/>
            </w:tcBorders>
          </w:tcPr>
          <w:p w14:paraId="44143ACF">
            <w:pPr>
              <w:rPr>
                <w:rFonts w:cs="Times New Roman"/>
                <w:color w:val="000000"/>
                <w:sz w:val="20"/>
                <w:szCs w:val="20"/>
              </w:rPr>
            </w:pPr>
          </w:p>
        </w:tc>
        <w:tc>
          <w:tcPr>
            <w:tcW w:w="1490" w:type="pct"/>
            <w:gridSpan w:val="2"/>
            <w:tcBorders>
              <w:top w:val="nil"/>
              <w:left w:val="nil"/>
              <w:bottom w:val="single" w:color="auto" w:sz="4" w:space="0"/>
              <w:right w:val="nil"/>
            </w:tcBorders>
          </w:tcPr>
          <w:p w14:paraId="5720E2BA">
            <w:pPr>
              <w:rPr>
                <w:rFonts w:cs="Times New Roman"/>
                <w:color w:val="000000"/>
                <w:sz w:val="20"/>
                <w:szCs w:val="20"/>
              </w:rPr>
            </w:pPr>
          </w:p>
        </w:tc>
        <w:tc>
          <w:tcPr>
            <w:tcW w:w="1139" w:type="pct"/>
            <w:tcBorders>
              <w:top w:val="nil"/>
              <w:left w:val="nil"/>
              <w:bottom w:val="single" w:color="auto" w:sz="4" w:space="0"/>
              <w:right w:val="nil"/>
            </w:tcBorders>
          </w:tcPr>
          <w:p w14:paraId="23A6E279">
            <w:pPr>
              <w:rPr>
                <w:rFonts w:cs="Times New Roman"/>
                <w:color w:val="000000"/>
                <w:sz w:val="20"/>
                <w:szCs w:val="20"/>
              </w:rPr>
            </w:pPr>
          </w:p>
        </w:tc>
      </w:tr>
    </w:tbl>
    <w:p w14:paraId="5B853356">
      <w:pPr>
        <w:spacing w:after="468" w:afterLines="150"/>
        <w:rPr>
          <w:rFonts w:cs="Times New Roman"/>
          <w:i/>
          <w:iCs/>
          <w:color w:val="000000"/>
          <w:sz w:val="20"/>
          <w:szCs w:val="20"/>
        </w:rPr>
      </w:pPr>
      <w:r>
        <w:rPr>
          <w:rFonts w:cs="Times New Roman"/>
          <w:i/>
          <w:iCs/>
          <w:color w:val="000000"/>
          <w:sz w:val="20"/>
          <w:szCs w:val="20"/>
        </w:rPr>
        <w:t>Note:Variable abbreviations: TEI_agri = typhoon intensity index; GCF = gross capital formation; GDP = GDP growth; UE = unemployment rate; AR= agriculture growth; FDI = foreign direct investment inflows;</w:t>
      </w:r>
      <w:r>
        <w:rPr>
          <w:rFonts w:cs="Times New Roman"/>
          <w:bCs w:val="0"/>
          <w:i/>
          <w:iCs/>
          <w:color w:val="000000"/>
          <w:sz w:val="20"/>
          <w:szCs w:val="20"/>
        </w:rPr>
        <w:t> INFLA</w:t>
      </w:r>
      <w:r>
        <w:rPr>
          <w:rFonts w:cs="Times New Roman"/>
          <w:i/>
          <w:iCs/>
          <w:color w:val="000000"/>
          <w:sz w:val="20"/>
          <w:szCs w:val="20"/>
        </w:rPr>
        <w:t> = CPI inflation; TRADE = trade openness; POP = population growth; UP = log urban population.</w:t>
      </w:r>
    </w:p>
    <w:p w14:paraId="200F5D69">
      <w:pPr>
        <w:pStyle w:val="4"/>
        <w:numPr>
          <w:ilvl w:val="2"/>
          <w:numId w:val="0"/>
        </w:numPr>
        <w:ind w:leftChars="0"/>
      </w:pPr>
      <w:bookmarkStart w:id="94" w:name="_Toc216969534"/>
      <w:r>
        <w:t>Pearson Correlation Analysis</w:t>
      </w:r>
      <w:bookmarkEnd w:id="94"/>
    </w:p>
    <w:p w14:paraId="087F3F98">
      <w:pPr>
        <w:spacing w:after="468" w:afterLines="150"/>
        <w:rPr>
          <w:rFonts w:cs="Times New Roman"/>
        </w:rPr>
      </w:pPr>
      <w:r>
        <w:rPr>
          <w:rFonts w:cs="Times New Roman"/>
          <w:color w:val="000000"/>
        </w:rPr>
        <w:t>Although there are substantial connections between the main variables, the correlation coefficients are often low to moderate and fall considerably below the 0.85 threshold for strong association, according to Pearson correlation analysis. This suggests a solid data structure that enables further fixed-effects regression analysis, as there are no serious multicollinearity problems among the variables.</w:t>
      </w:r>
    </w:p>
    <w:p w14:paraId="14B75169">
      <w:pPr>
        <w:pStyle w:val="7"/>
      </w:pPr>
      <w:bookmarkStart w:id="95" w:name="_Toc216867793"/>
      <w:r>
        <w:t>Table</w:t>
      </w:r>
      <w:r>
        <w:rPr>
          <w:rFonts w:hint="eastAsia" w:eastAsia="宋体"/>
          <w:lang w:val="en-US" w:eastAsia="zh-CN"/>
        </w:rPr>
        <w:t>4</w:t>
      </w:r>
      <w:r>
        <w:t xml:space="preserve"> Pearson Correlation Coefficient</w:t>
      </w:r>
      <w:bookmarkEnd w:id="95"/>
    </w:p>
    <w:tbl>
      <w:tblPr>
        <w:tblStyle w:val="2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1980"/>
        <w:gridCol w:w="2184"/>
        <w:gridCol w:w="2184"/>
      </w:tblGrid>
      <w:tr w14:paraId="33658E37">
        <w:trPr>
          <w:jc w:val="center"/>
        </w:trPr>
        <w:tc>
          <w:tcPr>
            <w:tcW w:w="1238" w:type="pct"/>
            <w:tcBorders>
              <w:top w:val="single" w:color="auto" w:sz="4" w:space="0"/>
              <w:left w:val="nil"/>
              <w:bottom w:val="single" w:color="auto" w:sz="4" w:space="0"/>
              <w:right w:val="nil"/>
            </w:tcBorders>
          </w:tcPr>
          <w:p w14:paraId="57BADC8B">
            <w:pPr>
              <w:pStyle w:val="69"/>
              <w:spacing w:line="360" w:lineRule="auto"/>
              <w:rPr>
                <w:rFonts w:ascii="Times New Roman" w:hAnsi="Times New Roman"/>
                <w:b/>
                <w:color w:val="000000"/>
                <w:sz w:val="20"/>
                <w:szCs w:val="20"/>
              </w:rPr>
            </w:pPr>
            <w:r>
              <w:rPr>
                <w:rFonts w:ascii="Times New Roman" w:hAnsi="Times New Roman"/>
                <w:b/>
                <w:color w:val="000000"/>
                <w:sz w:val="20"/>
                <w:szCs w:val="20"/>
              </w:rPr>
              <w:t>Variables</w:t>
            </w:r>
          </w:p>
        </w:tc>
        <w:tc>
          <w:tcPr>
            <w:tcW w:w="1173" w:type="pct"/>
            <w:tcBorders>
              <w:top w:val="single" w:color="auto" w:sz="4" w:space="0"/>
              <w:left w:val="nil"/>
              <w:bottom w:val="single" w:color="auto" w:sz="4" w:space="0"/>
              <w:right w:val="nil"/>
            </w:tcBorders>
          </w:tcPr>
          <w:p w14:paraId="36ABB190">
            <w:pPr>
              <w:pStyle w:val="69"/>
              <w:spacing w:line="360" w:lineRule="auto"/>
              <w:rPr>
                <w:rFonts w:ascii="Times New Roman" w:hAnsi="Times New Roman"/>
                <w:b/>
                <w:color w:val="000000"/>
                <w:sz w:val="20"/>
                <w:szCs w:val="20"/>
              </w:rPr>
            </w:pPr>
            <w:r>
              <w:rPr>
                <w:rFonts w:ascii="Times New Roman" w:hAnsi="Times New Roman"/>
                <w:b/>
                <w:bCs/>
                <w:color w:val="000000"/>
                <w:sz w:val="20"/>
                <w:szCs w:val="20"/>
              </w:rPr>
              <w:t>TEI_agri </w:t>
            </w:r>
          </w:p>
        </w:tc>
        <w:tc>
          <w:tcPr>
            <w:tcW w:w="1294" w:type="pct"/>
            <w:tcBorders>
              <w:top w:val="single" w:color="auto" w:sz="4" w:space="0"/>
              <w:left w:val="nil"/>
              <w:bottom w:val="single" w:color="auto" w:sz="4" w:space="0"/>
              <w:right w:val="nil"/>
            </w:tcBorders>
          </w:tcPr>
          <w:p w14:paraId="73C7BED2">
            <w:pPr>
              <w:pStyle w:val="69"/>
              <w:spacing w:line="360" w:lineRule="auto"/>
              <w:rPr>
                <w:rFonts w:ascii="Times New Roman" w:hAnsi="Times New Roman"/>
                <w:b/>
                <w:color w:val="000000"/>
                <w:sz w:val="20"/>
                <w:szCs w:val="20"/>
              </w:rPr>
            </w:pPr>
            <w:r>
              <w:rPr>
                <w:rFonts w:ascii="Times New Roman" w:hAnsi="Times New Roman"/>
                <w:b/>
                <w:color w:val="000000"/>
                <w:sz w:val="20"/>
                <w:szCs w:val="20"/>
              </w:rPr>
              <w:t>GCF</w:t>
            </w:r>
          </w:p>
        </w:tc>
        <w:tc>
          <w:tcPr>
            <w:tcW w:w="1294" w:type="pct"/>
            <w:tcBorders>
              <w:top w:val="single" w:color="auto" w:sz="4" w:space="0"/>
              <w:left w:val="nil"/>
              <w:bottom w:val="single" w:color="auto" w:sz="4" w:space="0"/>
              <w:right w:val="nil"/>
            </w:tcBorders>
          </w:tcPr>
          <w:p w14:paraId="50F07281">
            <w:pPr>
              <w:pStyle w:val="69"/>
              <w:spacing w:line="360" w:lineRule="auto"/>
              <w:rPr>
                <w:rFonts w:ascii="Times New Roman" w:hAnsi="Times New Roman"/>
                <w:b/>
                <w:color w:val="000000"/>
                <w:sz w:val="20"/>
                <w:szCs w:val="20"/>
              </w:rPr>
            </w:pPr>
            <w:r>
              <w:rPr>
                <w:rFonts w:ascii="Times New Roman" w:hAnsi="Times New Roman"/>
                <w:b/>
                <w:color w:val="000000"/>
                <w:sz w:val="20"/>
                <w:szCs w:val="20"/>
              </w:rPr>
              <w:t>GDP</w:t>
            </w:r>
          </w:p>
        </w:tc>
      </w:tr>
      <w:tr w14:paraId="74F9ECBE">
        <w:trPr>
          <w:jc w:val="center"/>
        </w:trPr>
        <w:tc>
          <w:tcPr>
            <w:tcW w:w="1238" w:type="pct"/>
            <w:tcBorders>
              <w:top w:val="single" w:color="auto" w:sz="4" w:space="0"/>
              <w:left w:val="nil"/>
              <w:bottom w:val="nil"/>
              <w:right w:val="nil"/>
            </w:tcBorders>
          </w:tcPr>
          <w:p w14:paraId="5A0D952B">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TEI_agri </w:t>
            </w:r>
          </w:p>
        </w:tc>
        <w:tc>
          <w:tcPr>
            <w:tcW w:w="1173" w:type="pct"/>
            <w:tcBorders>
              <w:top w:val="single" w:color="auto" w:sz="4" w:space="0"/>
              <w:left w:val="nil"/>
              <w:bottom w:val="nil"/>
              <w:right w:val="nil"/>
            </w:tcBorders>
          </w:tcPr>
          <w:p w14:paraId="56206D82">
            <w:pPr>
              <w:pStyle w:val="69"/>
              <w:spacing w:line="360" w:lineRule="auto"/>
              <w:rPr>
                <w:rFonts w:ascii="Times New Roman" w:hAnsi="Times New Roman"/>
                <w:color w:val="000000"/>
                <w:sz w:val="20"/>
                <w:szCs w:val="20"/>
              </w:rPr>
            </w:pPr>
            <w:r>
              <w:rPr>
                <w:rFonts w:ascii="Times New Roman" w:hAnsi="Times New Roman"/>
                <w:color w:val="000000"/>
                <w:sz w:val="20"/>
                <w:szCs w:val="20"/>
              </w:rPr>
              <w:t>1.0000</w:t>
            </w:r>
          </w:p>
        </w:tc>
        <w:tc>
          <w:tcPr>
            <w:tcW w:w="1294" w:type="pct"/>
            <w:tcBorders>
              <w:top w:val="single" w:color="auto" w:sz="4" w:space="0"/>
              <w:left w:val="nil"/>
              <w:bottom w:val="nil"/>
              <w:right w:val="nil"/>
            </w:tcBorders>
          </w:tcPr>
          <w:p w14:paraId="3515FABB">
            <w:pPr>
              <w:pStyle w:val="69"/>
              <w:spacing w:line="360" w:lineRule="auto"/>
              <w:rPr>
                <w:rFonts w:ascii="Times New Roman" w:hAnsi="Times New Roman"/>
                <w:color w:val="000000"/>
                <w:sz w:val="20"/>
                <w:szCs w:val="20"/>
              </w:rPr>
            </w:pPr>
          </w:p>
        </w:tc>
        <w:tc>
          <w:tcPr>
            <w:tcW w:w="1294" w:type="pct"/>
            <w:tcBorders>
              <w:top w:val="single" w:color="auto" w:sz="4" w:space="0"/>
              <w:left w:val="nil"/>
              <w:bottom w:val="nil"/>
              <w:right w:val="nil"/>
            </w:tcBorders>
          </w:tcPr>
          <w:p w14:paraId="27409DFE">
            <w:pPr>
              <w:pStyle w:val="69"/>
              <w:spacing w:line="360" w:lineRule="auto"/>
              <w:rPr>
                <w:rFonts w:ascii="Times New Roman" w:hAnsi="Times New Roman"/>
                <w:color w:val="000000"/>
                <w:sz w:val="20"/>
                <w:szCs w:val="20"/>
              </w:rPr>
            </w:pPr>
          </w:p>
        </w:tc>
      </w:tr>
      <w:tr w14:paraId="4B596C02">
        <w:trPr>
          <w:jc w:val="center"/>
        </w:trPr>
        <w:tc>
          <w:tcPr>
            <w:tcW w:w="1238" w:type="pct"/>
            <w:tcBorders>
              <w:top w:val="nil"/>
              <w:left w:val="nil"/>
              <w:bottom w:val="nil"/>
              <w:right w:val="nil"/>
            </w:tcBorders>
          </w:tcPr>
          <w:p w14:paraId="32FC1C33">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GCF</w:t>
            </w:r>
          </w:p>
        </w:tc>
        <w:tc>
          <w:tcPr>
            <w:tcW w:w="1173" w:type="pct"/>
            <w:tcBorders>
              <w:top w:val="nil"/>
              <w:left w:val="nil"/>
              <w:bottom w:val="nil"/>
              <w:right w:val="nil"/>
            </w:tcBorders>
          </w:tcPr>
          <w:p w14:paraId="0CD2AF04">
            <w:pPr>
              <w:pStyle w:val="69"/>
              <w:spacing w:line="360" w:lineRule="auto"/>
              <w:rPr>
                <w:rFonts w:ascii="Times New Roman" w:hAnsi="Times New Roman"/>
                <w:color w:val="000000"/>
                <w:sz w:val="20"/>
                <w:szCs w:val="20"/>
              </w:rPr>
            </w:pPr>
            <w:r>
              <w:rPr>
                <w:rFonts w:ascii="Times New Roman" w:hAnsi="Times New Roman"/>
                <w:color w:val="000000"/>
                <w:sz w:val="20"/>
                <w:szCs w:val="20"/>
              </w:rPr>
              <w:t>-0.0468</w:t>
            </w:r>
          </w:p>
        </w:tc>
        <w:tc>
          <w:tcPr>
            <w:tcW w:w="1294" w:type="pct"/>
            <w:tcBorders>
              <w:top w:val="nil"/>
              <w:left w:val="nil"/>
              <w:bottom w:val="nil"/>
              <w:right w:val="nil"/>
            </w:tcBorders>
          </w:tcPr>
          <w:p w14:paraId="0990E1CE">
            <w:pPr>
              <w:pStyle w:val="69"/>
              <w:spacing w:line="360" w:lineRule="auto"/>
              <w:rPr>
                <w:rFonts w:ascii="Times New Roman" w:hAnsi="Times New Roman"/>
                <w:color w:val="000000"/>
                <w:sz w:val="20"/>
                <w:szCs w:val="20"/>
              </w:rPr>
            </w:pPr>
            <w:r>
              <w:rPr>
                <w:rFonts w:ascii="Times New Roman" w:hAnsi="Times New Roman"/>
                <w:color w:val="000000"/>
                <w:sz w:val="20"/>
                <w:szCs w:val="20"/>
              </w:rPr>
              <w:t>1.0000</w:t>
            </w:r>
          </w:p>
        </w:tc>
        <w:tc>
          <w:tcPr>
            <w:tcW w:w="1294" w:type="pct"/>
            <w:tcBorders>
              <w:top w:val="nil"/>
              <w:left w:val="nil"/>
              <w:bottom w:val="nil"/>
              <w:right w:val="nil"/>
            </w:tcBorders>
          </w:tcPr>
          <w:p w14:paraId="16335BE7">
            <w:pPr>
              <w:pStyle w:val="69"/>
              <w:spacing w:line="360" w:lineRule="auto"/>
              <w:rPr>
                <w:rFonts w:ascii="Times New Roman" w:hAnsi="Times New Roman"/>
                <w:color w:val="000000"/>
                <w:sz w:val="20"/>
                <w:szCs w:val="20"/>
              </w:rPr>
            </w:pPr>
          </w:p>
        </w:tc>
      </w:tr>
      <w:tr w14:paraId="4174E102">
        <w:trPr>
          <w:jc w:val="center"/>
        </w:trPr>
        <w:tc>
          <w:tcPr>
            <w:tcW w:w="1238" w:type="pct"/>
            <w:tcBorders>
              <w:top w:val="nil"/>
              <w:left w:val="nil"/>
              <w:bottom w:val="nil"/>
              <w:right w:val="nil"/>
            </w:tcBorders>
          </w:tcPr>
          <w:p w14:paraId="40916051">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GDP</w:t>
            </w:r>
          </w:p>
        </w:tc>
        <w:tc>
          <w:tcPr>
            <w:tcW w:w="1173" w:type="pct"/>
            <w:tcBorders>
              <w:top w:val="nil"/>
              <w:left w:val="nil"/>
              <w:bottom w:val="nil"/>
              <w:right w:val="nil"/>
            </w:tcBorders>
          </w:tcPr>
          <w:p w14:paraId="2428EA3B">
            <w:pPr>
              <w:pStyle w:val="69"/>
              <w:spacing w:line="360" w:lineRule="auto"/>
              <w:rPr>
                <w:rFonts w:ascii="Times New Roman" w:hAnsi="Times New Roman"/>
                <w:color w:val="000000"/>
                <w:sz w:val="20"/>
                <w:szCs w:val="20"/>
              </w:rPr>
            </w:pPr>
            <w:r>
              <w:rPr>
                <w:rFonts w:ascii="Times New Roman" w:hAnsi="Times New Roman"/>
                <w:color w:val="000000"/>
                <w:sz w:val="20"/>
                <w:szCs w:val="20"/>
              </w:rPr>
              <w:t>0.375***</w:t>
            </w:r>
          </w:p>
        </w:tc>
        <w:tc>
          <w:tcPr>
            <w:tcW w:w="1294" w:type="pct"/>
            <w:tcBorders>
              <w:top w:val="nil"/>
              <w:left w:val="nil"/>
              <w:bottom w:val="nil"/>
              <w:right w:val="nil"/>
            </w:tcBorders>
          </w:tcPr>
          <w:p w14:paraId="50AE9500">
            <w:pPr>
              <w:pStyle w:val="69"/>
              <w:spacing w:line="360" w:lineRule="auto"/>
              <w:rPr>
                <w:rFonts w:ascii="Times New Roman" w:hAnsi="Times New Roman"/>
                <w:color w:val="000000"/>
                <w:sz w:val="20"/>
                <w:szCs w:val="20"/>
              </w:rPr>
            </w:pPr>
            <w:r>
              <w:rPr>
                <w:rFonts w:ascii="Times New Roman" w:hAnsi="Times New Roman"/>
                <w:color w:val="000000"/>
                <w:sz w:val="20"/>
                <w:szCs w:val="20"/>
              </w:rPr>
              <w:t>0.0882</w:t>
            </w:r>
          </w:p>
        </w:tc>
        <w:tc>
          <w:tcPr>
            <w:tcW w:w="1294" w:type="pct"/>
            <w:tcBorders>
              <w:top w:val="nil"/>
              <w:left w:val="nil"/>
              <w:bottom w:val="nil"/>
              <w:right w:val="nil"/>
            </w:tcBorders>
          </w:tcPr>
          <w:p w14:paraId="54970A59">
            <w:pPr>
              <w:pStyle w:val="69"/>
              <w:spacing w:line="360" w:lineRule="auto"/>
              <w:rPr>
                <w:rFonts w:ascii="Times New Roman" w:hAnsi="Times New Roman"/>
                <w:color w:val="000000"/>
                <w:sz w:val="20"/>
                <w:szCs w:val="20"/>
              </w:rPr>
            </w:pPr>
            <w:r>
              <w:rPr>
                <w:rFonts w:ascii="Times New Roman" w:hAnsi="Times New Roman"/>
                <w:color w:val="000000"/>
                <w:sz w:val="20"/>
                <w:szCs w:val="20"/>
              </w:rPr>
              <w:t>1.0000</w:t>
            </w:r>
          </w:p>
        </w:tc>
      </w:tr>
      <w:tr w14:paraId="45DA9737">
        <w:trPr>
          <w:jc w:val="center"/>
        </w:trPr>
        <w:tc>
          <w:tcPr>
            <w:tcW w:w="1238" w:type="pct"/>
            <w:tcBorders>
              <w:top w:val="nil"/>
              <w:left w:val="nil"/>
              <w:bottom w:val="nil"/>
              <w:right w:val="nil"/>
            </w:tcBorders>
          </w:tcPr>
          <w:p w14:paraId="3BE8DA0D">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UE</w:t>
            </w:r>
          </w:p>
        </w:tc>
        <w:tc>
          <w:tcPr>
            <w:tcW w:w="1173" w:type="pct"/>
            <w:tcBorders>
              <w:top w:val="nil"/>
              <w:left w:val="nil"/>
              <w:bottom w:val="nil"/>
              <w:right w:val="nil"/>
            </w:tcBorders>
          </w:tcPr>
          <w:p w14:paraId="6F01F3C5">
            <w:pPr>
              <w:pStyle w:val="69"/>
              <w:spacing w:line="360" w:lineRule="auto"/>
              <w:rPr>
                <w:rFonts w:ascii="Times New Roman" w:hAnsi="Times New Roman"/>
                <w:color w:val="000000"/>
                <w:sz w:val="20"/>
                <w:szCs w:val="20"/>
              </w:rPr>
            </w:pPr>
            <w:r>
              <w:rPr>
                <w:rFonts w:ascii="Times New Roman" w:hAnsi="Times New Roman"/>
                <w:color w:val="000000"/>
                <w:sz w:val="20"/>
                <w:szCs w:val="20"/>
              </w:rPr>
              <w:t>0.152***</w:t>
            </w:r>
          </w:p>
        </w:tc>
        <w:tc>
          <w:tcPr>
            <w:tcW w:w="1294" w:type="pct"/>
            <w:tcBorders>
              <w:top w:val="nil"/>
              <w:left w:val="nil"/>
              <w:bottom w:val="nil"/>
              <w:right w:val="nil"/>
            </w:tcBorders>
          </w:tcPr>
          <w:p w14:paraId="38F1BE9C">
            <w:pPr>
              <w:pStyle w:val="69"/>
              <w:spacing w:line="360" w:lineRule="auto"/>
              <w:rPr>
                <w:rFonts w:ascii="Times New Roman" w:hAnsi="Times New Roman"/>
                <w:color w:val="000000"/>
                <w:sz w:val="20"/>
                <w:szCs w:val="20"/>
              </w:rPr>
            </w:pPr>
            <w:r>
              <w:rPr>
                <w:rFonts w:ascii="Times New Roman" w:hAnsi="Times New Roman"/>
                <w:color w:val="000000"/>
                <w:sz w:val="20"/>
                <w:szCs w:val="20"/>
              </w:rPr>
              <w:t>0.250***</w:t>
            </w:r>
          </w:p>
        </w:tc>
        <w:tc>
          <w:tcPr>
            <w:tcW w:w="1294" w:type="pct"/>
            <w:tcBorders>
              <w:top w:val="nil"/>
              <w:left w:val="nil"/>
              <w:bottom w:val="nil"/>
              <w:right w:val="nil"/>
            </w:tcBorders>
          </w:tcPr>
          <w:p w14:paraId="2D2A2BAF">
            <w:pPr>
              <w:pStyle w:val="69"/>
              <w:spacing w:line="360" w:lineRule="auto"/>
              <w:rPr>
                <w:rFonts w:ascii="Times New Roman" w:hAnsi="Times New Roman"/>
                <w:color w:val="000000"/>
                <w:sz w:val="20"/>
                <w:szCs w:val="20"/>
              </w:rPr>
            </w:pPr>
            <w:r>
              <w:rPr>
                <w:rFonts w:ascii="Times New Roman" w:hAnsi="Times New Roman"/>
                <w:color w:val="000000"/>
                <w:sz w:val="20"/>
                <w:szCs w:val="20"/>
              </w:rPr>
              <w:t>-0.1122**</w:t>
            </w:r>
          </w:p>
        </w:tc>
      </w:tr>
      <w:tr w14:paraId="28E6F9F9">
        <w:trPr>
          <w:jc w:val="center"/>
        </w:trPr>
        <w:tc>
          <w:tcPr>
            <w:tcW w:w="1238" w:type="pct"/>
            <w:tcBorders>
              <w:top w:val="nil"/>
              <w:left w:val="nil"/>
              <w:bottom w:val="nil"/>
              <w:right w:val="nil"/>
            </w:tcBorders>
          </w:tcPr>
          <w:p w14:paraId="6DE7ED1F">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AR</w:t>
            </w:r>
          </w:p>
        </w:tc>
        <w:tc>
          <w:tcPr>
            <w:tcW w:w="1173" w:type="pct"/>
            <w:tcBorders>
              <w:top w:val="nil"/>
              <w:left w:val="nil"/>
              <w:bottom w:val="nil"/>
              <w:right w:val="nil"/>
            </w:tcBorders>
          </w:tcPr>
          <w:p w14:paraId="7580BDC9">
            <w:pPr>
              <w:pStyle w:val="69"/>
              <w:spacing w:line="360" w:lineRule="auto"/>
              <w:rPr>
                <w:rFonts w:ascii="Times New Roman" w:hAnsi="Times New Roman"/>
                <w:color w:val="000000"/>
                <w:sz w:val="20"/>
                <w:szCs w:val="20"/>
              </w:rPr>
            </w:pPr>
            <w:r>
              <w:rPr>
                <w:rFonts w:ascii="Times New Roman" w:hAnsi="Times New Roman"/>
                <w:color w:val="000000"/>
                <w:sz w:val="20"/>
                <w:szCs w:val="20"/>
              </w:rPr>
              <w:t>0.501***</w:t>
            </w:r>
          </w:p>
        </w:tc>
        <w:tc>
          <w:tcPr>
            <w:tcW w:w="1294" w:type="pct"/>
            <w:tcBorders>
              <w:top w:val="nil"/>
              <w:left w:val="nil"/>
              <w:bottom w:val="nil"/>
              <w:right w:val="nil"/>
            </w:tcBorders>
          </w:tcPr>
          <w:p w14:paraId="66FDCE10">
            <w:pPr>
              <w:pStyle w:val="69"/>
              <w:spacing w:line="360" w:lineRule="auto"/>
              <w:rPr>
                <w:rFonts w:ascii="Times New Roman" w:hAnsi="Times New Roman"/>
                <w:color w:val="000000"/>
                <w:sz w:val="20"/>
                <w:szCs w:val="20"/>
              </w:rPr>
            </w:pPr>
            <w:r>
              <w:rPr>
                <w:rFonts w:ascii="Times New Roman" w:hAnsi="Times New Roman"/>
                <w:color w:val="000000"/>
                <w:sz w:val="20"/>
                <w:szCs w:val="20"/>
              </w:rPr>
              <w:t>-0.34***</w:t>
            </w:r>
          </w:p>
        </w:tc>
        <w:tc>
          <w:tcPr>
            <w:tcW w:w="1294" w:type="pct"/>
            <w:tcBorders>
              <w:top w:val="nil"/>
              <w:left w:val="nil"/>
              <w:bottom w:val="nil"/>
              <w:right w:val="nil"/>
            </w:tcBorders>
          </w:tcPr>
          <w:p w14:paraId="31D73A5E">
            <w:pPr>
              <w:pStyle w:val="69"/>
              <w:spacing w:line="360" w:lineRule="auto"/>
              <w:rPr>
                <w:rFonts w:ascii="Times New Roman" w:hAnsi="Times New Roman"/>
                <w:color w:val="000000"/>
                <w:sz w:val="20"/>
                <w:szCs w:val="20"/>
              </w:rPr>
            </w:pPr>
            <w:r>
              <w:rPr>
                <w:rFonts w:ascii="Times New Roman" w:hAnsi="Times New Roman"/>
                <w:color w:val="000000"/>
                <w:sz w:val="20"/>
                <w:szCs w:val="20"/>
              </w:rPr>
              <w:t>0.4831***</w:t>
            </w:r>
          </w:p>
        </w:tc>
      </w:tr>
      <w:tr w14:paraId="34E6A13D">
        <w:trPr>
          <w:jc w:val="center"/>
        </w:trPr>
        <w:tc>
          <w:tcPr>
            <w:tcW w:w="1238" w:type="pct"/>
            <w:tcBorders>
              <w:top w:val="nil"/>
              <w:left w:val="nil"/>
              <w:bottom w:val="nil"/>
              <w:right w:val="nil"/>
            </w:tcBorders>
          </w:tcPr>
          <w:p w14:paraId="4010866C">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FDI</w:t>
            </w:r>
          </w:p>
        </w:tc>
        <w:tc>
          <w:tcPr>
            <w:tcW w:w="1173" w:type="pct"/>
            <w:tcBorders>
              <w:top w:val="nil"/>
              <w:left w:val="nil"/>
              <w:bottom w:val="nil"/>
              <w:right w:val="nil"/>
            </w:tcBorders>
          </w:tcPr>
          <w:p w14:paraId="5501A337">
            <w:pPr>
              <w:pStyle w:val="69"/>
              <w:spacing w:line="360" w:lineRule="auto"/>
              <w:rPr>
                <w:rFonts w:ascii="Times New Roman" w:hAnsi="Times New Roman"/>
                <w:color w:val="000000"/>
                <w:sz w:val="20"/>
                <w:szCs w:val="20"/>
              </w:rPr>
            </w:pPr>
            <w:r>
              <w:rPr>
                <w:rFonts w:ascii="Times New Roman" w:hAnsi="Times New Roman"/>
                <w:color w:val="000000"/>
                <w:sz w:val="20"/>
                <w:szCs w:val="20"/>
              </w:rPr>
              <w:t>0.225***</w:t>
            </w:r>
          </w:p>
        </w:tc>
        <w:tc>
          <w:tcPr>
            <w:tcW w:w="1294" w:type="pct"/>
            <w:tcBorders>
              <w:top w:val="nil"/>
              <w:left w:val="nil"/>
              <w:bottom w:val="nil"/>
              <w:right w:val="nil"/>
            </w:tcBorders>
          </w:tcPr>
          <w:p w14:paraId="3ADF67D9">
            <w:pPr>
              <w:pStyle w:val="69"/>
              <w:spacing w:line="360" w:lineRule="auto"/>
              <w:rPr>
                <w:rFonts w:ascii="Times New Roman" w:hAnsi="Times New Roman"/>
                <w:color w:val="000000"/>
                <w:sz w:val="20"/>
                <w:szCs w:val="20"/>
              </w:rPr>
            </w:pPr>
            <w:r>
              <w:rPr>
                <w:rFonts w:ascii="Times New Roman" w:hAnsi="Times New Roman"/>
                <w:color w:val="000000"/>
                <w:sz w:val="20"/>
                <w:szCs w:val="20"/>
              </w:rPr>
              <w:t>0.220***</w:t>
            </w:r>
          </w:p>
        </w:tc>
        <w:tc>
          <w:tcPr>
            <w:tcW w:w="1294" w:type="pct"/>
            <w:tcBorders>
              <w:top w:val="nil"/>
              <w:left w:val="nil"/>
              <w:bottom w:val="nil"/>
              <w:right w:val="nil"/>
            </w:tcBorders>
          </w:tcPr>
          <w:p w14:paraId="279FB4C5">
            <w:pPr>
              <w:pStyle w:val="69"/>
              <w:spacing w:line="360" w:lineRule="auto"/>
              <w:rPr>
                <w:rFonts w:ascii="Times New Roman" w:hAnsi="Times New Roman"/>
                <w:color w:val="000000"/>
                <w:sz w:val="20"/>
                <w:szCs w:val="20"/>
              </w:rPr>
            </w:pPr>
            <w:r>
              <w:rPr>
                <w:rFonts w:ascii="Times New Roman" w:hAnsi="Times New Roman"/>
                <w:color w:val="000000"/>
                <w:sz w:val="20"/>
                <w:szCs w:val="20"/>
              </w:rPr>
              <w:t>0.2119***</w:t>
            </w:r>
          </w:p>
        </w:tc>
      </w:tr>
      <w:tr w14:paraId="11080EF4">
        <w:trPr>
          <w:jc w:val="center"/>
        </w:trPr>
        <w:tc>
          <w:tcPr>
            <w:tcW w:w="1238" w:type="pct"/>
            <w:tcBorders>
              <w:top w:val="nil"/>
              <w:left w:val="nil"/>
              <w:bottom w:val="nil"/>
              <w:right w:val="nil"/>
            </w:tcBorders>
          </w:tcPr>
          <w:p w14:paraId="0EC4796E">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 xml:space="preserve">INFLA </w:t>
            </w:r>
          </w:p>
        </w:tc>
        <w:tc>
          <w:tcPr>
            <w:tcW w:w="1173" w:type="pct"/>
            <w:tcBorders>
              <w:top w:val="nil"/>
              <w:left w:val="nil"/>
              <w:bottom w:val="nil"/>
              <w:right w:val="nil"/>
            </w:tcBorders>
          </w:tcPr>
          <w:p w14:paraId="22732364">
            <w:pPr>
              <w:pStyle w:val="69"/>
              <w:spacing w:line="360" w:lineRule="auto"/>
              <w:rPr>
                <w:rFonts w:ascii="Times New Roman" w:hAnsi="Times New Roman"/>
                <w:color w:val="000000"/>
                <w:sz w:val="20"/>
                <w:szCs w:val="20"/>
              </w:rPr>
            </w:pPr>
            <w:r>
              <w:rPr>
                <w:rFonts w:ascii="Times New Roman" w:hAnsi="Times New Roman"/>
                <w:color w:val="000000"/>
                <w:sz w:val="20"/>
                <w:szCs w:val="20"/>
              </w:rPr>
              <w:t>0.329***</w:t>
            </w:r>
          </w:p>
        </w:tc>
        <w:tc>
          <w:tcPr>
            <w:tcW w:w="1294" w:type="pct"/>
            <w:tcBorders>
              <w:top w:val="nil"/>
              <w:left w:val="nil"/>
              <w:bottom w:val="nil"/>
              <w:right w:val="nil"/>
            </w:tcBorders>
          </w:tcPr>
          <w:p w14:paraId="3621702C">
            <w:pPr>
              <w:pStyle w:val="69"/>
              <w:spacing w:line="360" w:lineRule="auto"/>
              <w:rPr>
                <w:rFonts w:ascii="Times New Roman" w:hAnsi="Times New Roman"/>
                <w:color w:val="000000"/>
                <w:sz w:val="20"/>
                <w:szCs w:val="20"/>
              </w:rPr>
            </w:pPr>
            <w:r>
              <w:rPr>
                <w:rFonts w:ascii="Times New Roman" w:hAnsi="Times New Roman"/>
                <w:color w:val="000000"/>
                <w:sz w:val="20"/>
                <w:szCs w:val="20"/>
              </w:rPr>
              <w:t>-0.2294</w:t>
            </w:r>
          </w:p>
        </w:tc>
        <w:tc>
          <w:tcPr>
            <w:tcW w:w="1294" w:type="pct"/>
            <w:tcBorders>
              <w:top w:val="nil"/>
              <w:left w:val="nil"/>
              <w:bottom w:val="nil"/>
              <w:right w:val="nil"/>
            </w:tcBorders>
          </w:tcPr>
          <w:p w14:paraId="3BD90E58">
            <w:pPr>
              <w:pStyle w:val="69"/>
              <w:spacing w:line="360" w:lineRule="auto"/>
              <w:rPr>
                <w:rFonts w:ascii="Times New Roman" w:hAnsi="Times New Roman"/>
                <w:color w:val="000000"/>
                <w:sz w:val="20"/>
                <w:szCs w:val="20"/>
              </w:rPr>
            </w:pPr>
            <w:r>
              <w:rPr>
                <w:rFonts w:ascii="Times New Roman" w:hAnsi="Times New Roman"/>
                <w:color w:val="000000"/>
                <w:sz w:val="20"/>
                <w:szCs w:val="20"/>
              </w:rPr>
              <w:t>0.1259**</w:t>
            </w:r>
          </w:p>
        </w:tc>
      </w:tr>
      <w:tr w14:paraId="250E9DB2">
        <w:trPr>
          <w:jc w:val="center"/>
        </w:trPr>
        <w:tc>
          <w:tcPr>
            <w:tcW w:w="1238" w:type="pct"/>
            <w:tcBorders>
              <w:top w:val="nil"/>
              <w:left w:val="nil"/>
              <w:bottom w:val="nil"/>
              <w:right w:val="nil"/>
            </w:tcBorders>
          </w:tcPr>
          <w:p w14:paraId="7D3256F7">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TRADE</w:t>
            </w:r>
          </w:p>
        </w:tc>
        <w:tc>
          <w:tcPr>
            <w:tcW w:w="1173" w:type="pct"/>
            <w:tcBorders>
              <w:top w:val="nil"/>
              <w:left w:val="nil"/>
              <w:bottom w:val="nil"/>
              <w:right w:val="nil"/>
            </w:tcBorders>
          </w:tcPr>
          <w:p w14:paraId="0F3F4801">
            <w:pPr>
              <w:pStyle w:val="69"/>
              <w:spacing w:line="360" w:lineRule="auto"/>
              <w:rPr>
                <w:rFonts w:ascii="Times New Roman" w:hAnsi="Times New Roman"/>
                <w:color w:val="000000"/>
                <w:sz w:val="20"/>
                <w:szCs w:val="20"/>
              </w:rPr>
            </w:pPr>
            <w:r>
              <w:rPr>
                <w:rFonts w:ascii="Times New Roman" w:hAnsi="Times New Roman"/>
                <w:color w:val="000000"/>
                <w:sz w:val="20"/>
                <w:szCs w:val="20"/>
              </w:rPr>
              <w:t>-0.27***</w:t>
            </w:r>
          </w:p>
        </w:tc>
        <w:tc>
          <w:tcPr>
            <w:tcW w:w="1294" w:type="pct"/>
            <w:tcBorders>
              <w:top w:val="nil"/>
              <w:left w:val="nil"/>
              <w:bottom w:val="nil"/>
              <w:right w:val="nil"/>
            </w:tcBorders>
          </w:tcPr>
          <w:p w14:paraId="09BA1506">
            <w:pPr>
              <w:pStyle w:val="69"/>
              <w:spacing w:line="360" w:lineRule="auto"/>
              <w:rPr>
                <w:rFonts w:ascii="Times New Roman" w:hAnsi="Times New Roman"/>
                <w:color w:val="000000"/>
                <w:sz w:val="20"/>
                <w:szCs w:val="20"/>
              </w:rPr>
            </w:pPr>
            <w:r>
              <w:rPr>
                <w:rFonts w:ascii="Times New Roman" w:hAnsi="Times New Roman"/>
                <w:color w:val="000000"/>
                <w:sz w:val="20"/>
                <w:szCs w:val="20"/>
              </w:rPr>
              <w:t>0.0232</w:t>
            </w:r>
          </w:p>
        </w:tc>
        <w:tc>
          <w:tcPr>
            <w:tcW w:w="1294" w:type="pct"/>
            <w:tcBorders>
              <w:top w:val="nil"/>
              <w:left w:val="nil"/>
              <w:bottom w:val="nil"/>
              <w:right w:val="nil"/>
            </w:tcBorders>
          </w:tcPr>
          <w:p w14:paraId="42C545AC">
            <w:pPr>
              <w:pStyle w:val="69"/>
              <w:spacing w:line="360" w:lineRule="auto"/>
              <w:rPr>
                <w:rFonts w:ascii="Times New Roman" w:hAnsi="Times New Roman"/>
                <w:color w:val="000000"/>
                <w:sz w:val="20"/>
                <w:szCs w:val="20"/>
              </w:rPr>
            </w:pPr>
            <w:r>
              <w:rPr>
                <w:rFonts w:ascii="Times New Roman" w:hAnsi="Times New Roman"/>
                <w:color w:val="000000"/>
                <w:sz w:val="20"/>
                <w:szCs w:val="20"/>
              </w:rPr>
              <w:t>0.0041</w:t>
            </w:r>
          </w:p>
        </w:tc>
      </w:tr>
      <w:tr w14:paraId="76F0995B">
        <w:trPr>
          <w:jc w:val="center"/>
        </w:trPr>
        <w:tc>
          <w:tcPr>
            <w:tcW w:w="1238" w:type="pct"/>
            <w:tcBorders>
              <w:top w:val="nil"/>
              <w:left w:val="nil"/>
              <w:bottom w:val="nil"/>
              <w:right w:val="nil"/>
            </w:tcBorders>
          </w:tcPr>
          <w:p w14:paraId="3CC470B5">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POP</w:t>
            </w:r>
          </w:p>
        </w:tc>
        <w:tc>
          <w:tcPr>
            <w:tcW w:w="1173" w:type="pct"/>
            <w:tcBorders>
              <w:top w:val="nil"/>
              <w:left w:val="nil"/>
              <w:bottom w:val="nil"/>
              <w:right w:val="nil"/>
            </w:tcBorders>
          </w:tcPr>
          <w:p w14:paraId="5724AEB0">
            <w:pPr>
              <w:pStyle w:val="69"/>
              <w:spacing w:line="360" w:lineRule="auto"/>
              <w:rPr>
                <w:rFonts w:ascii="Times New Roman" w:hAnsi="Times New Roman"/>
                <w:color w:val="000000"/>
                <w:sz w:val="20"/>
                <w:szCs w:val="20"/>
              </w:rPr>
            </w:pPr>
            <w:r>
              <w:rPr>
                <w:rFonts w:ascii="Times New Roman" w:hAnsi="Times New Roman"/>
                <w:color w:val="000000"/>
                <w:sz w:val="20"/>
                <w:szCs w:val="20"/>
              </w:rPr>
              <w:t>0.347***</w:t>
            </w:r>
          </w:p>
        </w:tc>
        <w:tc>
          <w:tcPr>
            <w:tcW w:w="1294" w:type="pct"/>
            <w:tcBorders>
              <w:top w:val="nil"/>
              <w:left w:val="nil"/>
              <w:bottom w:val="nil"/>
              <w:right w:val="nil"/>
            </w:tcBorders>
          </w:tcPr>
          <w:p w14:paraId="354E7519">
            <w:pPr>
              <w:pStyle w:val="69"/>
              <w:spacing w:line="360" w:lineRule="auto"/>
              <w:rPr>
                <w:rFonts w:ascii="Times New Roman" w:hAnsi="Times New Roman"/>
                <w:color w:val="000000"/>
                <w:sz w:val="20"/>
                <w:szCs w:val="20"/>
              </w:rPr>
            </w:pPr>
            <w:r>
              <w:rPr>
                <w:rFonts w:ascii="Times New Roman" w:hAnsi="Times New Roman"/>
                <w:color w:val="000000"/>
                <w:sz w:val="20"/>
                <w:szCs w:val="20"/>
              </w:rPr>
              <w:t>-0.1286**</w:t>
            </w:r>
          </w:p>
        </w:tc>
        <w:tc>
          <w:tcPr>
            <w:tcW w:w="1294" w:type="pct"/>
            <w:tcBorders>
              <w:top w:val="nil"/>
              <w:left w:val="nil"/>
              <w:bottom w:val="nil"/>
              <w:right w:val="nil"/>
            </w:tcBorders>
          </w:tcPr>
          <w:p w14:paraId="1DEF0DC9">
            <w:pPr>
              <w:pStyle w:val="69"/>
              <w:spacing w:line="360" w:lineRule="auto"/>
              <w:rPr>
                <w:rFonts w:ascii="Times New Roman" w:hAnsi="Times New Roman"/>
                <w:color w:val="000000"/>
                <w:sz w:val="20"/>
                <w:szCs w:val="20"/>
              </w:rPr>
            </w:pPr>
            <w:r>
              <w:rPr>
                <w:rFonts w:ascii="Times New Roman" w:hAnsi="Times New Roman"/>
                <w:color w:val="000000"/>
                <w:sz w:val="20"/>
                <w:szCs w:val="20"/>
              </w:rPr>
              <w:t>0.3205***</w:t>
            </w:r>
          </w:p>
        </w:tc>
      </w:tr>
      <w:tr w14:paraId="0503077A">
        <w:trPr>
          <w:jc w:val="center"/>
        </w:trPr>
        <w:tc>
          <w:tcPr>
            <w:tcW w:w="1238" w:type="pct"/>
            <w:tcBorders>
              <w:top w:val="nil"/>
              <w:left w:val="nil"/>
              <w:bottom w:val="single" w:color="auto" w:sz="4" w:space="0"/>
              <w:right w:val="nil"/>
            </w:tcBorders>
          </w:tcPr>
          <w:p w14:paraId="073820E3">
            <w:pPr>
              <w:pStyle w:val="69"/>
              <w:spacing w:line="360" w:lineRule="auto"/>
              <w:rPr>
                <w:rFonts w:ascii="Times New Roman" w:hAnsi="Times New Roman"/>
                <w:b/>
                <w:bCs/>
                <w:color w:val="000000"/>
                <w:sz w:val="20"/>
                <w:szCs w:val="20"/>
              </w:rPr>
            </w:pPr>
            <w:bookmarkStart w:id="96" w:name="OLE_LINK191"/>
            <w:r>
              <w:rPr>
                <w:rFonts w:ascii="Times New Roman" w:hAnsi="Times New Roman"/>
                <w:b/>
                <w:bCs/>
                <w:color w:val="000000"/>
                <w:sz w:val="20"/>
                <w:szCs w:val="20"/>
              </w:rPr>
              <w:t>U</w:t>
            </w:r>
            <w:bookmarkEnd w:id="96"/>
            <w:r>
              <w:rPr>
                <w:rFonts w:ascii="Times New Roman" w:hAnsi="Times New Roman"/>
                <w:b/>
                <w:bCs/>
                <w:color w:val="000000"/>
                <w:sz w:val="20"/>
                <w:szCs w:val="20"/>
              </w:rPr>
              <w:t>P</w:t>
            </w:r>
          </w:p>
        </w:tc>
        <w:tc>
          <w:tcPr>
            <w:tcW w:w="1173" w:type="pct"/>
            <w:tcBorders>
              <w:top w:val="nil"/>
              <w:left w:val="nil"/>
              <w:bottom w:val="single" w:color="auto" w:sz="4" w:space="0"/>
              <w:right w:val="nil"/>
            </w:tcBorders>
          </w:tcPr>
          <w:p w14:paraId="0F525C71">
            <w:pPr>
              <w:pStyle w:val="69"/>
              <w:spacing w:line="360" w:lineRule="auto"/>
              <w:rPr>
                <w:rFonts w:ascii="Times New Roman" w:hAnsi="Times New Roman"/>
                <w:color w:val="000000"/>
                <w:sz w:val="20"/>
                <w:szCs w:val="20"/>
              </w:rPr>
            </w:pPr>
            <w:r>
              <w:rPr>
                <w:rFonts w:ascii="Times New Roman" w:hAnsi="Times New Roman"/>
                <w:color w:val="000000"/>
                <w:sz w:val="20"/>
                <w:szCs w:val="20"/>
              </w:rPr>
              <w:t>0.261***</w:t>
            </w:r>
          </w:p>
        </w:tc>
        <w:tc>
          <w:tcPr>
            <w:tcW w:w="1294" w:type="pct"/>
            <w:tcBorders>
              <w:top w:val="nil"/>
              <w:left w:val="nil"/>
              <w:bottom w:val="single" w:color="auto" w:sz="4" w:space="0"/>
              <w:right w:val="nil"/>
            </w:tcBorders>
          </w:tcPr>
          <w:p w14:paraId="65B10276">
            <w:pPr>
              <w:pStyle w:val="69"/>
              <w:spacing w:line="360" w:lineRule="auto"/>
              <w:rPr>
                <w:rFonts w:ascii="Times New Roman" w:hAnsi="Times New Roman"/>
                <w:color w:val="000000"/>
                <w:sz w:val="20"/>
                <w:szCs w:val="20"/>
              </w:rPr>
            </w:pPr>
            <w:r>
              <w:rPr>
                <w:rFonts w:ascii="Times New Roman" w:hAnsi="Times New Roman"/>
                <w:color w:val="000000"/>
                <w:sz w:val="20"/>
                <w:szCs w:val="20"/>
              </w:rPr>
              <w:t>0.3579***</w:t>
            </w:r>
          </w:p>
        </w:tc>
        <w:tc>
          <w:tcPr>
            <w:tcW w:w="1294" w:type="pct"/>
            <w:tcBorders>
              <w:top w:val="nil"/>
              <w:left w:val="nil"/>
              <w:bottom w:val="single" w:color="auto" w:sz="4" w:space="0"/>
              <w:right w:val="nil"/>
            </w:tcBorders>
          </w:tcPr>
          <w:p w14:paraId="52B85789">
            <w:pPr>
              <w:pStyle w:val="69"/>
              <w:spacing w:line="360" w:lineRule="auto"/>
              <w:rPr>
                <w:rFonts w:ascii="Times New Roman" w:hAnsi="Times New Roman"/>
                <w:color w:val="000000"/>
                <w:sz w:val="20"/>
                <w:szCs w:val="20"/>
              </w:rPr>
            </w:pPr>
            <w:r>
              <w:rPr>
                <w:rFonts w:ascii="Times New Roman" w:hAnsi="Times New Roman"/>
                <w:color w:val="000000"/>
                <w:sz w:val="20"/>
                <w:szCs w:val="20"/>
              </w:rPr>
              <w:t>-0.0362</w:t>
            </w:r>
          </w:p>
        </w:tc>
      </w:tr>
    </w:tbl>
    <w:tbl>
      <w:tblPr>
        <w:tblStyle w:val="71"/>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1567"/>
        <w:gridCol w:w="67"/>
        <w:gridCol w:w="1500"/>
        <w:gridCol w:w="133"/>
        <w:gridCol w:w="1434"/>
        <w:gridCol w:w="201"/>
        <w:gridCol w:w="1368"/>
        <w:gridCol w:w="531"/>
      </w:tblGrid>
      <w:tr w14:paraId="486FB3C4">
        <w:trPr>
          <w:jc w:val="center"/>
        </w:trPr>
        <w:tc>
          <w:tcPr>
            <w:tcW w:w="969" w:type="pct"/>
            <w:tcBorders>
              <w:top w:val="single" w:color="auto" w:sz="4" w:space="0"/>
              <w:bottom w:val="single" w:color="auto" w:sz="4" w:space="0"/>
              <w:right w:val="nil"/>
            </w:tcBorders>
          </w:tcPr>
          <w:p w14:paraId="60428B97">
            <w:pPr>
              <w:pStyle w:val="69"/>
              <w:spacing w:line="360" w:lineRule="auto"/>
              <w:rPr>
                <w:rFonts w:ascii="Times New Roman" w:hAnsi="Times New Roman"/>
                <w:b/>
                <w:color w:val="000000"/>
                <w:sz w:val="20"/>
                <w:szCs w:val="20"/>
                <w14:ligatures w14:val="standardContextual"/>
              </w:rPr>
            </w:pPr>
            <w:r>
              <w:rPr>
                <w:rFonts w:ascii="Times New Roman" w:hAnsi="Times New Roman"/>
                <w:b/>
                <w:color w:val="000000"/>
                <w:sz w:val="20"/>
                <w:szCs w:val="20"/>
                <w14:ligatures w14:val="standardContextual"/>
              </w:rPr>
              <w:t>Variables</w:t>
            </w:r>
          </w:p>
        </w:tc>
        <w:tc>
          <w:tcPr>
            <w:tcW w:w="969" w:type="pct"/>
            <w:gridSpan w:val="2"/>
            <w:tcBorders>
              <w:top w:val="single" w:color="auto" w:sz="4" w:space="0"/>
              <w:left w:val="nil"/>
              <w:bottom w:val="single" w:color="auto" w:sz="4" w:space="0"/>
              <w:right w:val="nil"/>
            </w:tcBorders>
          </w:tcPr>
          <w:p w14:paraId="73F20980">
            <w:pPr>
              <w:pStyle w:val="69"/>
              <w:spacing w:line="360" w:lineRule="auto"/>
              <w:rPr>
                <w:rFonts w:ascii="Times New Roman" w:hAnsi="Times New Roman"/>
                <w:b/>
                <w:color w:val="000000"/>
                <w:sz w:val="20"/>
                <w:szCs w:val="20"/>
                <w14:ligatures w14:val="standardContextual"/>
              </w:rPr>
            </w:pPr>
            <w:r>
              <w:rPr>
                <w:rFonts w:ascii="Times New Roman" w:hAnsi="Times New Roman"/>
                <w:b/>
                <w:color w:val="000000"/>
                <w:sz w:val="20"/>
                <w:szCs w:val="20"/>
                <w14:ligatures w14:val="standardContextual"/>
              </w:rPr>
              <w:t>UE</w:t>
            </w:r>
          </w:p>
        </w:tc>
        <w:tc>
          <w:tcPr>
            <w:tcW w:w="968" w:type="pct"/>
            <w:gridSpan w:val="2"/>
            <w:tcBorders>
              <w:top w:val="single" w:color="auto" w:sz="4" w:space="0"/>
              <w:left w:val="nil"/>
              <w:bottom w:val="single" w:color="auto" w:sz="4" w:space="0"/>
              <w:right w:val="nil"/>
            </w:tcBorders>
          </w:tcPr>
          <w:p w14:paraId="2763780D">
            <w:pPr>
              <w:pStyle w:val="69"/>
              <w:spacing w:line="360" w:lineRule="auto"/>
              <w:rPr>
                <w:rFonts w:ascii="Times New Roman" w:hAnsi="Times New Roman"/>
                <w:b/>
                <w:color w:val="000000"/>
                <w:sz w:val="20"/>
                <w:szCs w:val="20"/>
                <w14:ligatures w14:val="standardContextual"/>
              </w:rPr>
            </w:pPr>
            <w:r>
              <w:rPr>
                <w:rFonts w:ascii="Times New Roman" w:hAnsi="Times New Roman"/>
                <w:b/>
                <w:color w:val="000000"/>
                <w:sz w:val="20"/>
                <w:szCs w:val="20"/>
                <w14:ligatures w14:val="standardContextual"/>
              </w:rPr>
              <w:t>AR</w:t>
            </w:r>
          </w:p>
        </w:tc>
        <w:tc>
          <w:tcPr>
            <w:tcW w:w="969" w:type="pct"/>
            <w:gridSpan w:val="2"/>
            <w:tcBorders>
              <w:top w:val="single" w:color="auto" w:sz="4" w:space="0"/>
              <w:left w:val="nil"/>
              <w:bottom w:val="single" w:color="auto" w:sz="4" w:space="0"/>
              <w:right w:val="nil"/>
            </w:tcBorders>
          </w:tcPr>
          <w:p w14:paraId="2E014AA3">
            <w:pPr>
              <w:pStyle w:val="69"/>
              <w:spacing w:line="360" w:lineRule="auto"/>
              <w:rPr>
                <w:rFonts w:ascii="Times New Roman" w:hAnsi="Times New Roman"/>
                <w:b/>
                <w:color w:val="000000"/>
                <w:sz w:val="20"/>
                <w:szCs w:val="20"/>
                <w14:ligatures w14:val="standardContextual"/>
              </w:rPr>
            </w:pPr>
            <w:r>
              <w:rPr>
                <w:rFonts w:ascii="Times New Roman" w:hAnsi="Times New Roman"/>
                <w:b/>
                <w:color w:val="000000"/>
                <w:sz w:val="20"/>
                <w:szCs w:val="20"/>
                <w14:ligatures w14:val="standardContextual"/>
              </w:rPr>
              <w:t>FDI</w:t>
            </w:r>
          </w:p>
        </w:tc>
        <w:tc>
          <w:tcPr>
            <w:tcW w:w="1125" w:type="pct"/>
            <w:gridSpan w:val="2"/>
            <w:tcBorders>
              <w:top w:val="single" w:color="auto" w:sz="4" w:space="0"/>
              <w:left w:val="nil"/>
              <w:bottom w:val="single" w:color="auto" w:sz="4" w:space="0"/>
              <w:right w:val="nil"/>
            </w:tcBorders>
          </w:tcPr>
          <w:p w14:paraId="029926BC">
            <w:pPr>
              <w:pStyle w:val="69"/>
              <w:spacing w:line="360" w:lineRule="auto"/>
              <w:rPr>
                <w:rFonts w:ascii="Times New Roman" w:hAnsi="Times New Roman"/>
                <w:b/>
                <w:bCs/>
                <w:color w:val="000000"/>
                <w:sz w:val="20"/>
                <w:szCs w:val="20"/>
                <w14:ligatures w14:val="standardContextual"/>
              </w:rPr>
            </w:pPr>
            <w:bookmarkStart w:id="97" w:name="OLE_LINK209"/>
            <w:r>
              <w:rPr>
                <w:rFonts w:ascii="Times New Roman" w:hAnsi="Times New Roman"/>
                <w:b/>
                <w:bCs/>
                <w:color w:val="000000"/>
                <w:sz w:val="20"/>
                <w:szCs w:val="20"/>
                <w14:ligatures w14:val="standardContextual"/>
              </w:rPr>
              <w:t>INFLA</w:t>
            </w:r>
            <w:bookmarkEnd w:id="97"/>
          </w:p>
        </w:tc>
      </w:tr>
      <w:tr w14:paraId="29F79E3B">
        <w:trPr>
          <w:gridAfter w:val="1"/>
          <w:wAfter w:w="314" w:type="pct"/>
          <w:jc w:val="center"/>
        </w:trPr>
        <w:tc>
          <w:tcPr>
            <w:tcW w:w="969" w:type="pct"/>
            <w:tcBorders>
              <w:top w:val="single" w:color="auto" w:sz="4" w:space="0"/>
              <w:bottom w:val="nil"/>
              <w:right w:val="nil"/>
            </w:tcBorders>
          </w:tcPr>
          <w:p w14:paraId="00504C43">
            <w:pPr>
              <w:pStyle w:val="69"/>
              <w:spacing w:line="360" w:lineRule="auto"/>
              <w:rPr>
                <w:rFonts w:ascii="Times New Roman" w:hAnsi="Times New Roman"/>
                <w:b/>
                <w:color w:val="000000"/>
                <w:sz w:val="20"/>
                <w:szCs w:val="20"/>
                <w14:ligatures w14:val="standardContextual"/>
              </w:rPr>
            </w:pPr>
            <w:r>
              <w:rPr>
                <w:rFonts w:ascii="Times New Roman" w:hAnsi="Times New Roman"/>
                <w:b/>
                <w:color w:val="000000"/>
                <w:sz w:val="20"/>
                <w:szCs w:val="20"/>
                <w14:ligatures w14:val="standardContextual"/>
              </w:rPr>
              <w:t>TEI_agri </w:t>
            </w:r>
          </w:p>
        </w:tc>
        <w:tc>
          <w:tcPr>
            <w:tcW w:w="929" w:type="pct"/>
            <w:tcBorders>
              <w:top w:val="single" w:color="auto" w:sz="4" w:space="0"/>
              <w:left w:val="nil"/>
              <w:bottom w:val="nil"/>
              <w:right w:val="nil"/>
            </w:tcBorders>
          </w:tcPr>
          <w:p w14:paraId="238A5998">
            <w:pPr>
              <w:pStyle w:val="69"/>
              <w:spacing w:line="360" w:lineRule="auto"/>
              <w:rPr>
                <w:rFonts w:ascii="Times New Roman" w:hAnsi="Times New Roman"/>
                <w:color w:val="000000"/>
                <w:sz w:val="20"/>
                <w:szCs w:val="20"/>
                <w14:ligatures w14:val="standardContextual"/>
              </w:rPr>
            </w:pPr>
          </w:p>
        </w:tc>
        <w:tc>
          <w:tcPr>
            <w:tcW w:w="929" w:type="pct"/>
            <w:gridSpan w:val="2"/>
            <w:tcBorders>
              <w:top w:val="single" w:color="auto" w:sz="4" w:space="0"/>
              <w:left w:val="nil"/>
              <w:bottom w:val="nil"/>
              <w:right w:val="nil"/>
            </w:tcBorders>
          </w:tcPr>
          <w:p w14:paraId="0D9BD8FE">
            <w:pPr>
              <w:pStyle w:val="69"/>
              <w:spacing w:line="360" w:lineRule="auto"/>
              <w:rPr>
                <w:rFonts w:ascii="Times New Roman" w:hAnsi="Times New Roman"/>
                <w:color w:val="000000"/>
                <w:sz w:val="20"/>
                <w:szCs w:val="20"/>
                <w14:ligatures w14:val="standardContextual"/>
              </w:rPr>
            </w:pPr>
          </w:p>
        </w:tc>
        <w:tc>
          <w:tcPr>
            <w:tcW w:w="929" w:type="pct"/>
            <w:gridSpan w:val="2"/>
            <w:tcBorders>
              <w:top w:val="single" w:color="auto" w:sz="4" w:space="0"/>
              <w:left w:val="nil"/>
              <w:bottom w:val="nil"/>
              <w:right w:val="nil"/>
            </w:tcBorders>
          </w:tcPr>
          <w:p w14:paraId="2EE02FB0">
            <w:pPr>
              <w:pStyle w:val="69"/>
              <w:spacing w:line="360" w:lineRule="auto"/>
              <w:rPr>
                <w:rFonts w:ascii="Times New Roman" w:hAnsi="Times New Roman"/>
                <w:color w:val="000000"/>
                <w:sz w:val="20"/>
                <w:szCs w:val="20"/>
                <w14:ligatures w14:val="standardContextual"/>
              </w:rPr>
            </w:pPr>
          </w:p>
        </w:tc>
        <w:tc>
          <w:tcPr>
            <w:tcW w:w="930" w:type="pct"/>
            <w:gridSpan w:val="2"/>
            <w:tcBorders>
              <w:top w:val="single" w:color="auto" w:sz="4" w:space="0"/>
              <w:left w:val="nil"/>
              <w:bottom w:val="nil"/>
              <w:right w:val="nil"/>
            </w:tcBorders>
          </w:tcPr>
          <w:p w14:paraId="69923B3E">
            <w:pPr>
              <w:pStyle w:val="69"/>
              <w:spacing w:line="360" w:lineRule="auto"/>
              <w:rPr>
                <w:rFonts w:ascii="Times New Roman" w:hAnsi="Times New Roman"/>
                <w:color w:val="000000"/>
                <w:sz w:val="20"/>
                <w:szCs w:val="20"/>
                <w14:ligatures w14:val="standardContextual"/>
              </w:rPr>
            </w:pPr>
          </w:p>
        </w:tc>
      </w:tr>
      <w:tr w14:paraId="4ECDD2B9">
        <w:trPr>
          <w:gridAfter w:val="1"/>
          <w:wAfter w:w="314" w:type="pct"/>
          <w:jc w:val="center"/>
        </w:trPr>
        <w:tc>
          <w:tcPr>
            <w:tcW w:w="969" w:type="pct"/>
            <w:tcBorders>
              <w:top w:val="nil"/>
              <w:bottom w:val="nil"/>
              <w:right w:val="nil"/>
            </w:tcBorders>
          </w:tcPr>
          <w:p w14:paraId="1B7DF5B5">
            <w:pPr>
              <w:pStyle w:val="69"/>
              <w:spacing w:line="360" w:lineRule="auto"/>
              <w:rPr>
                <w:rFonts w:ascii="Times New Roman" w:hAnsi="Times New Roman"/>
                <w:color w:val="000000"/>
                <w:sz w:val="20"/>
                <w:szCs w:val="20"/>
                <w14:ligatures w14:val="standardContextual"/>
              </w:rPr>
            </w:pPr>
            <w:r>
              <w:rPr>
                <w:rFonts w:ascii="Times New Roman" w:hAnsi="Times New Roman"/>
                <w:b/>
                <w:bCs/>
                <w:color w:val="000000"/>
                <w:sz w:val="20"/>
                <w:szCs w:val="20"/>
                <w14:ligatures w14:val="standardContextual"/>
              </w:rPr>
              <w:t>GCF</w:t>
            </w:r>
          </w:p>
        </w:tc>
        <w:tc>
          <w:tcPr>
            <w:tcW w:w="929" w:type="pct"/>
            <w:tcBorders>
              <w:top w:val="nil"/>
              <w:left w:val="nil"/>
              <w:bottom w:val="nil"/>
              <w:right w:val="nil"/>
            </w:tcBorders>
          </w:tcPr>
          <w:p w14:paraId="4A47E40A">
            <w:pPr>
              <w:pStyle w:val="69"/>
              <w:spacing w:line="360" w:lineRule="auto"/>
              <w:rPr>
                <w:rFonts w:ascii="Times New Roman" w:hAnsi="Times New Roman"/>
                <w:color w:val="000000"/>
                <w:sz w:val="20"/>
                <w:szCs w:val="20"/>
                <w14:ligatures w14:val="standardContextual"/>
              </w:rPr>
            </w:pPr>
          </w:p>
        </w:tc>
        <w:tc>
          <w:tcPr>
            <w:tcW w:w="929" w:type="pct"/>
            <w:gridSpan w:val="2"/>
            <w:tcBorders>
              <w:top w:val="nil"/>
              <w:left w:val="nil"/>
              <w:bottom w:val="nil"/>
              <w:right w:val="nil"/>
            </w:tcBorders>
          </w:tcPr>
          <w:p w14:paraId="430431D1">
            <w:pPr>
              <w:pStyle w:val="69"/>
              <w:spacing w:line="360" w:lineRule="auto"/>
              <w:rPr>
                <w:rFonts w:ascii="Times New Roman" w:hAnsi="Times New Roman"/>
                <w:color w:val="000000"/>
                <w:sz w:val="20"/>
                <w:szCs w:val="20"/>
                <w14:ligatures w14:val="standardContextual"/>
              </w:rPr>
            </w:pPr>
          </w:p>
        </w:tc>
        <w:tc>
          <w:tcPr>
            <w:tcW w:w="929" w:type="pct"/>
            <w:gridSpan w:val="2"/>
            <w:tcBorders>
              <w:top w:val="nil"/>
              <w:left w:val="nil"/>
              <w:bottom w:val="nil"/>
              <w:right w:val="nil"/>
            </w:tcBorders>
          </w:tcPr>
          <w:p w14:paraId="12F80522">
            <w:pPr>
              <w:pStyle w:val="69"/>
              <w:spacing w:line="360" w:lineRule="auto"/>
              <w:rPr>
                <w:rFonts w:ascii="Times New Roman" w:hAnsi="Times New Roman"/>
                <w:color w:val="000000"/>
                <w:sz w:val="20"/>
                <w:szCs w:val="20"/>
                <w14:ligatures w14:val="standardContextual"/>
              </w:rPr>
            </w:pPr>
          </w:p>
        </w:tc>
        <w:tc>
          <w:tcPr>
            <w:tcW w:w="930" w:type="pct"/>
            <w:gridSpan w:val="2"/>
            <w:tcBorders>
              <w:top w:val="nil"/>
              <w:left w:val="nil"/>
              <w:bottom w:val="nil"/>
              <w:right w:val="nil"/>
            </w:tcBorders>
          </w:tcPr>
          <w:p w14:paraId="4FE99389">
            <w:pPr>
              <w:pStyle w:val="69"/>
              <w:spacing w:line="360" w:lineRule="auto"/>
              <w:rPr>
                <w:rFonts w:ascii="Times New Roman" w:hAnsi="Times New Roman"/>
                <w:color w:val="000000"/>
                <w:sz w:val="20"/>
                <w:szCs w:val="20"/>
                <w14:ligatures w14:val="standardContextual"/>
              </w:rPr>
            </w:pPr>
          </w:p>
        </w:tc>
      </w:tr>
      <w:tr w14:paraId="0559D09F">
        <w:trPr>
          <w:gridAfter w:val="1"/>
          <w:wAfter w:w="314" w:type="pct"/>
          <w:jc w:val="center"/>
        </w:trPr>
        <w:tc>
          <w:tcPr>
            <w:tcW w:w="969" w:type="pct"/>
            <w:tcBorders>
              <w:top w:val="nil"/>
              <w:bottom w:val="nil"/>
              <w:right w:val="nil"/>
            </w:tcBorders>
          </w:tcPr>
          <w:p w14:paraId="4919E8E2">
            <w:pPr>
              <w:pStyle w:val="69"/>
              <w:spacing w:line="360" w:lineRule="auto"/>
              <w:rPr>
                <w:rFonts w:ascii="Times New Roman" w:hAnsi="Times New Roman"/>
                <w:color w:val="000000"/>
                <w:sz w:val="20"/>
                <w:szCs w:val="20"/>
                <w14:ligatures w14:val="standardContextual"/>
              </w:rPr>
            </w:pPr>
            <w:r>
              <w:rPr>
                <w:rFonts w:ascii="Times New Roman" w:hAnsi="Times New Roman"/>
                <w:b/>
                <w:bCs/>
                <w:color w:val="000000"/>
                <w:sz w:val="20"/>
                <w:szCs w:val="20"/>
                <w14:ligatures w14:val="standardContextual"/>
              </w:rPr>
              <w:t>GDP</w:t>
            </w:r>
          </w:p>
        </w:tc>
        <w:tc>
          <w:tcPr>
            <w:tcW w:w="929" w:type="pct"/>
            <w:tcBorders>
              <w:top w:val="nil"/>
              <w:left w:val="nil"/>
              <w:bottom w:val="nil"/>
              <w:right w:val="nil"/>
            </w:tcBorders>
          </w:tcPr>
          <w:p w14:paraId="0208129A">
            <w:pPr>
              <w:pStyle w:val="69"/>
              <w:spacing w:line="360" w:lineRule="auto"/>
              <w:rPr>
                <w:rFonts w:ascii="Times New Roman" w:hAnsi="Times New Roman"/>
                <w:color w:val="000000"/>
                <w:sz w:val="20"/>
                <w:szCs w:val="20"/>
                <w14:ligatures w14:val="standardContextual"/>
              </w:rPr>
            </w:pPr>
          </w:p>
        </w:tc>
        <w:tc>
          <w:tcPr>
            <w:tcW w:w="929" w:type="pct"/>
            <w:gridSpan w:val="2"/>
            <w:tcBorders>
              <w:top w:val="nil"/>
              <w:left w:val="nil"/>
              <w:bottom w:val="nil"/>
              <w:right w:val="nil"/>
            </w:tcBorders>
          </w:tcPr>
          <w:p w14:paraId="0ABE5206">
            <w:pPr>
              <w:pStyle w:val="69"/>
              <w:spacing w:line="360" w:lineRule="auto"/>
              <w:rPr>
                <w:rFonts w:ascii="Times New Roman" w:hAnsi="Times New Roman"/>
                <w:color w:val="000000"/>
                <w:sz w:val="20"/>
                <w:szCs w:val="20"/>
                <w14:ligatures w14:val="standardContextual"/>
              </w:rPr>
            </w:pPr>
          </w:p>
        </w:tc>
        <w:tc>
          <w:tcPr>
            <w:tcW w:w="929" w:type="pct"/>
            <w:gridSpan w:val="2"/>
            <w:tcBorders>
              <w:top w:val="nil"/>
              <w:left w:val="nil"/>
              <w:bottom w:val="nil"/>
              <w:right w:val="nil"/>
            </w:tcBorders>
          </w:tcPr>
          <w:p w14:paraId="425D6CE0">
            <w:pPr>
              <w:pStyle w:val="69"/>
              <w:spacing w:line="360" w:lineRule="auto"/>
              <w:rPr>
                <w:rFonts w:ascii="Times New Roman" w:hAnsi="Times New Roman"/>
                <w:color w:val="000000"/>
                <w:sz w:val="20"/>
                <w:szCs w:val="20"/>
                <w14:ligatures w14:val="standardContextual"/>
              </w:rPr>
            </w:pPr>
          </w:p>
        </w:tc>
        <w:tc>
          <w:tcPr>
            <w:tcW w:w="930" w:type="pct"/>
            <w:gridSpan w:val="2"/>
            <w:tcBorders>
              <w:top w:val="nil"/>
              <w:left w:val="nil"/>
              <w:bottom w:val="nil"/>
              <w:right w:val="nil"/>
            </w:tcBorders>
          </w:tcPr>
          <w:p w14:paraId="15269CCB">
            <w:pPr>
              <w:pStyle w:val="69"/>
              <w:spacing w:line="360" w:lineRule="auto"/>
              <w:rPr>
                <w:rFonts w:ascii="Times New Roman" w:hAnsi="Times New Roman"/>
                <w:color w:val="000000"/>
                <w:sz w:val="20"/>
                <w:szCs w:val="20"/>
                <w14:ligatures w14:val="standardContextual"/>
              </w:rPr>
            </w:pPr>
          </w:p>
        </w:tc>
      </w:tr>
      <w:tr w14:paraId="45293BEF">
        <w:trPr>
          <w:gridAfter w:val="1"/>
          <w:wAfter w:w="314" w:type="pct"/>
          <w:jc w:val="center"/>
        </w:trPr>
        <w:tc>
          <w:tcPr>
            <w:tcW w:w="969" w:type="pct"/>
            <w:tcBorders>
              <w:top w:val="nil"/>
              <w:bottom w:val="nil"/>
              <w:right w:val="nil"/>
            </w:tcBorders>
          </w:tcPr>
          <w:p w14:paraId="61A51211">
            <w:pPr>
              <w:pStyle w:val="69"/>
              <w:spacing w:line="360" w:lineRule="auto"/>
              <w:rPr>
                <w:rFonts w:ascii="Times New Roman" w:hAnsi="Times New Roman"/>
                <w:color w:val="000000"/>
                <w:sz w:val="20"/>
                <w:szCs w:val="20"/>
                <w14:ligatures w14:val="standardContextual"/>
              </w:rPr>
            </w:pPr>
            <w:r>
              <w:rPr>
                <w:rFonts w:ascii="Times New Roman" w:hAnsi="Times New Roman"/>
                <w:b/>
                <w:bCs/>
                <w:color w:val="000000"/>
                <w:sz w:val="20"/>
                <w:szCs w:val="20"/>
                <w14:ligatures w14:val="standardContextual"/>
              </w:rPr>
              <w:t>UE</w:t>
            </w:r>
          </w:p>
        </w:tc>
        <w:tc>
          <w:tcPr>
            <w:tcW w:w="929" w:type="pct"/>
            <w:tcBorders>
              <w:top w:val="nil"/>
              <w:left w:val="nil"/>
              <w:bottom w:val="nil"/>
              <w:right w:val="nil"/>
            </w:tcBorders>
          </w:tcPr>
          <w:p w14:paraId="14B2F9C2">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1.0000</w:t>
            </w:r>
          </w:p>
        </w:tc>
        <w:tc>
          <w:tcPr>
            <w:tcW w:w="929" w:type="pct"/>
            <w:gridSpan w:val="2"/>
            <w:tcBorders>
              <w:top w:val="nil"/>
              <w:left w:val="nil"/>
              <w:bottom w:val="nil"/>
              <w:right w:val="nil"/>
            </w:tcBorders>
          </w:tcPr>
          <w:p w14:paraId="31244A50">
            <w:pPr>
              <w:pStyle w:val="69"/>
              <w:spacing w:line="360" w:lineRule="auto"/>
              <w:rPr>
                <w:rFonts w:ascii="Times New Roman" w:hAnsi="Times New Roman"/>
                <w:color w:val="000000"/>
                <w:sz w:val="20"/>
                <w:szCs w:val="20"/>
                <w14:ligatures w14:val="standardContextual"/>
              </w:rPr>
            </w:pPr>
          </w:p>
        </w:tc>
        <w:tc>
          <w:tcPr>
            <w:tcW w:w="929" w:type="pct"/>
            <w:gridSpan w:val="2"/>
            <w:tcBorders>
              <w:top w:val="nil"/>
              <w:left w:val="nil"/>
              <w:bottom w:val="nil"/>
              <w:right w:val="nil"/>
            </w:tcBorders>
          </w:tcPr>
          <w:p w14:paraId="5843B9CD">
            <w:pPr>
              <w:pStyle w:val="69"/>
              <w:spacing w:line="360" w:lineRule="auto"/>
              <w:rPr>
                <w:rFonts w:ascii="Times New Roman" w:hAnsi="Times New Roman"/>
                <w:color w:val="000000"/>
                <w:sz w:val="20"/>
                <w:szCs w:val="20"/>
                <w14:ligatures w14:val="standardContextual"/>
              </w:rPr>
            </w:pPr>
          </w:p>
        </w:tc>
        <w:tc>
          <w:tcPr>
            <w:tcW w:w="930" w:type="pct"/>
            <w:gridSpan w:val="2"/>
            <w:tcBorders>
              <w:top w:val="nil"/>
              <w:left w:val="nil"/>
              <w:bottom w:val="nil"/>
              <w:right w:val="nil"/>
            </w:tcBorders>
          </w:tcPr>
          <w:p w14:paraId="393BC60A">
            <w:pPr>
              <w:pStyle w:val="69"/>
              <w:spacing w:line="360" w:lineRule="auto"/>
              <w:rPr>
                <w:rFonts w:ascii="Times New Roman" w:hAnsi="Times New Roman"/>
                <w:color w:val="000000"/>
                <w:sz w:val="20"/>
                <w:szCs w:val="20"/>
                <w14:ligatures w14:val="standardContextual"/>
              </w:rPr>
            </w:pPr>
          </w:p>
        </w:tc>
      </w:tr>
      <w:tr w14:paraId="7A4EBB46">
        <w:trPr>
          <w:gridAfter w:val="1"/>
          <w:wAfter w:w="314" w:type="pct"/>
          <w:jc w:val="center"/>
        </w:trPr>
        <w:tc>
          <w:tcPr>
            <w:tcW w:w="969" w:type="pct"/>
            <w:tcBorders>
              <w:top w:val="nil"/>
              <w:bottom w:val="nil"/>
              <w:right w:val="nil"/>
            </w:tcBorders>
          </w:tcPr>
          <w:p w14:paraId="59ED128B">
            <w:pPr>
              <w:pStyle w:val="69"/>
              <w:spacing w:line="360" w:lineRule="auto"/>
              <w:rPr>
                <w:rFonts w:ascii="Times New Roman" w:hAnsi="Times New Roman"/>
                <w:color w:val="000000"/>
                <w:sz w:val="20"/>
                <w:szCs w:val="20"/>
                <w14:ligatures w14:val="standardContextual"/>
              </w:rPr>
            </w:pPr>
            <w:r>
              <w:rPr>
                <w:rFonts w:ascii="Times New Roman" w:hAnsi="Times New Roman"/>
                <w:b/>
                <w:bCs/>
                <w:color w:val="000000"/>
                <w:sz w:val="20"/>
                <w:szCs w:val="20"/>
                <w14:ligatures w14:val="standardContextual"/>
              </w:rPr>
              <w:t>AR</w:t>
            </w:r>
          </w:p>
        </w:tc>
        <w:tc>
          <w:tcPr>
            <w:tcW w:w="929" w:type="pct"/>
            <w:tcBorders>
              <w:top w:val="nil"/>
              <w:left w:val="nil"/>
              <w:bottom w:val="nil"/>
              <w:right w:val="nil"/>
            </w:tcBorders>
          </w:tcPr>
          <w:p w14:paraId="76ED4CB6">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-0.3044***</w:t>
            </w:r>
          </w:p>
        </w:tc>
        <w:tc>
          <w:tcPr>
            <w:tcW w:w="929" w:type="pct"/>
            <w:gridSpan w:val="2"/>
            <w:tcBorders>
              <w:top w:val="nil"/>
              <w:left w:val="nil"/>
              <w:bottom w:val="nil"/>
              <w:right w:val="nil"/>
            </w:tcBorders>
          </w:tcPr>
          <w:p w14:paraId="08A4E9BE">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1.0000</w:t>
            </w:r>
          </w:p>
        </w:tc>
        <w:tc>
          <w:tcPr>
            <w:tcW w:w="929" w:type="pct"/>
            <w:gridSpan w:val="2"/>
            <w:tcBorders>
              <w:top w:val="nil"/>
              <w:left w:val="nil"/>
              <w:bottom w:val="nil"/>
              <w:right w:val="nil"/>
            </w:tcBorders>
          </w:tcPr>
          <w:p w14:paraId="39A7C8A9">
            <w:pPr>
              <w:pStyle w:val="69"/>
              <w:spacing w:line="360" w:lineRule="auto"/>
              <w:rPr>
                <w:rFonts w:ascii="Times New Roman" w:hAnsi="Times New Roman"/>
                <w:color w:val="000000"/>
                <w:sz w:val="20"/>
                <w:szCs w:val="20"/>
                <w14:ligatures w14:val="standardContextual"/>
              </w:rPr>
            </w:pPr>
          </w:p>
        </w:tc>
        <w:tc>
          <w:tcPr>
            <w:tcW w:w="930" w:type="pct"/>
            <w:gridSpan w:val="2"/>
            <w:tcBorders>
              <w:top w:val="nil"/>
              <w:left w:val="nil"/>
              <w:bottom w:val="nil"/>
              <w:right w:val="nil"/>
            </w:tcBorders>
          </w:tcPr>
          <w:p w14:paraId="74C9BC6E">
            <w:pPr>
              <w:pStyle w:val="69"/>
              <w:spacing w:line="360" w:lineRule="auto"/>
              <w:rPr>
                <w:rFonts w:ascii="Times New Roman" w:hAnsi="Times New Roman"/>
                <w:color w:val="000000"/>
                <w:sz w:val="20"/>
                <w:szCs w:val="20"/>
                <w14:ligatures w14:val="standardContextual"/>
              </w:rPr>
            </w:pPr>
          </w:p>
        </w:tc>
      </w:tr>
      <w:tr w14:paraId="331193ED">
        <w:trPr>
          <w:gridAfter w:val="1"/>
          <w:wAfter w:w="314" w:type="pct"/>
          <w:jc w:val="center"/>
        </w:trPr>
        <w:tc>
          <w:tcPr>
            <w:tcW w:w="969" w:type="pct"/>
            <w:tcBorders>
              <w:top w:val="nil"/>
              <w:bottom w:val="nil"/>
              <w:right w:val="nil"/>
            </w:tcBorders>
          </w:tcPr>
          <w:p w14:paraId="39735B40">
            <w:pPr>
              <w:pStyle w:val="69"/>
              <w:spacing w:line="360" w:lineRule="auto"/>
              <w:rPr>
                <w:rFonts w:ascii="Times New Roman" w:hAnsi="Times New Roman"/>
                <w:color w:val="000000"/>
                <w:sz w:val="20"/>
                <w:szCs w:val="20"/>
                <w14:ligatures w14:val="standardContextual"/>
              </w:rPr>
            </w:pPr>
            <w:r>
              <w:rPr>
                <w:rFonts w:ascii="Times New Roman" w:hAnsi="Times New Roman"/>
                <w:b/>
                <w:bCs/>
                <w:color w:val="000000"/>
                <w:sz w:val="20"/>
                <w:szCs w:val="20"/>
                <w14:ligatures w14:val="standardContextual"/>
              </w:rPr>
              <w:t>FDI</w:t>
            </w:r>
          </w:p>
        </w:tc>
        <w:tc>
          <w:tcPr>
            <w:tcW w:w="929" w:type="pct"/>
            <w:tcBorders>
              <w:top w:val="nil"/>
              <w:left w:val="nil"/>
              <w:bottom w:val="nil"/>
              <w:right w:val="nil"/>
            </w:tcBorders>
          </w:tcPr>
          <w:p w14:paraId="1980729B">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-0.2308***</w:t>
            </w:r>
          </w:p>
        </w:tc>
        <w:tc>
          <w:tcPr>
            <w:tcW w:w="929" w:type="pct"/>
            <w:gridSpan w:val="2"/>
            <w:tcBorders>
              <w:top w:val="nil"/>
              <w:left w:val="nil"/>
              <w:bottom w:val="nil"/>
              <w:right w:val="nil"/>
            </w:tcBorders>
          </w:tcPr>
          <w:p w14:paraId="6FB95B4E">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0.2365***</w:t>
            </w:r>
          </w:p>
        </w:tc>
        <w:tc>
          <w:tcPr>
            <w:tcW w:w="929" w:type="pct"/>
            <w:gridSpan w:val="2"/>
            <w:tcBorders>
              <w:top w:val="nil"/>
              <w:left w:val="nil"/>
              <w:bottom w:val="nil"/>
              <w:right w:val="nil"/>
            </w:tcBorders>
          </w:tcPr>
          <w:p w14:paraId="34F0A59D">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1.0000</w:t>
            </w:r>
          </w:p>
        </w:tc>
        <w:tc>
          <w:tcPr>
            <w:tcW w:w="930" w:type="pct"/>
            <w:gridSpan w:val="2"/>
            <w:tcBorders>
              <w:top w:val="nil"/>
              <w:left w:val="nil"/>
              <w:bottom w:val="nil"/>
              <w:right w:val="nil"/>
            </w:tcBorders>
          </w:tcPr>
          <w:p w14:paraId="0F0E4FA1">
            <w:pPr>
              <w:pStyle w:val="69"/>
              <w:spacing w:line="360" w:lineRule="auto"/>
              <w:rPr>
                <w:rFonts w:ascii="Times New Roman" w:hAnsi="Times New Roman"/>
                <w:color w:val="000000"/>
                <w:sz w:val="20"/>
                <w:szCs w:val="20"/>
                <w14:ligatures w14:val="standardContextual"/>
              </w:rPr>
            </w:pPr>
          </w:p>
        </w:tc>
      </w:tr>
      <w:tr w14:paraId="058AC117">
        <w:trPr>
          <w:gridAfter w:val="1"/>
          <w:wAfter w:w="314" w:type="pct"/>
          <w:jc w:val="center"/>
        </w:trPr>
        <w:tc>
          <w:tcPr>
            <w:tcW w:w="969" w:type="pct"/>
            <w:tcBorders>
              <w:top w:val="nil"/>
              <w:bottom w:val="nil"/>
              <w:right w:val="nil"/>
            </w:tcBorders>
          </w:tcPr>
          <w:p w14:paraId="4464CD07">
            <w:pPr>
              <w:pStyle w:val="69"/>
              <w:spacing w:line="360" w:lineRule="auto"/>
              <w:rPr>
                <w:rFonts w:ascii="Times New Roman" w:hAnsi="Times New Roman"/>
                <w:b/>
                <w:bCs/>
                <w:color w:val="000000"/>
                <w:sz w:val="20"/>
                <w:szCs w:val="20"/>
                <w14:ligatures w14:val="standardContextual"/>
              </w:rPr>
            </w:pPr>
            <w:r>
              <w:rPr>
                <w:rFonts w:ascii="Times New Roman" w:hAnsi="Times New Roman"/>
                <w:b/>
                <w:bCs/>
                <w:color w:val="000000"/>
                <w:sz w:val="20"/>
                <w:szCs w:val="20"/>
                <w14:ligatures w14:val="standardContextual"/>
              </w:rPr>
              <w:t>INFLA</w:t>
            </w:r>
          </w:p>
        </w:tc>
        <w:tc>
          <w:tcPr>
            <w:tcW w:w="929" w:type="pct"/>
            <w:tcBorders>
              <w:top w:val="nil"/>
              <w:left w:val="nil"/>
              <w:bottom w:val="nil"/>
              <w:right w:val="nil"/>
            </w:tcBorders>
          </w:tcPr>
          <w:p w14:paraId="6A1A6EE4">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-0.0124</w:t>
            </w:r>
          </w:p>
        </w:tc>
        <w:tc>
          <w:tcPr>
            <w:tcW w:w="929" w:type="pct"/>
            <w:gridSpan w:val="2"/>
            <w:tcBorders>
              <w:top w:val="nil"/>
              <w:left w:val="nil"/>
              <w:bottom w:val="nil"/>
              <w:right w:val="nil"/>
            </w:tcBorders>
          </w:tcPr>
          <w:p w14:paraId="131D0982">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0.4534***</w:t>
            </w:r>
          </w:p>
        </w:tc>
        <w:tc>
          <w:tcPr>
            <w:tcW w:w="929" w:type="pct"/>
            <w:gridSpan w:val="2"/>
            <w:tcBorders>
              <w:top w:val="nil"/>
              <w:left w:val="nil"/>
              <w:bottom w:val="nil"/>
              <w:right w:val="nil"/>
            </w:tcBorders>
          </w:tcPr>
          <w:p w14:paraId="5C026A2F">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0.1719***</w:t>
            </w:r>
          </w:p>
        </w:tc>
        <w:tc>
          <w:tcPr>
            <w:tcW w:w="930" w:type="pct"/>
            <w:gridSpan w:val="2"/>
            <w:tcBorders>
              <w:top w:val="nil"/>
              <w:left w:val="nil"/>
              <w:bottom w:val="nil"/>
              <w:right w:val="nil"/>
            </w:tcBorders>
          </w:tcPr>
          <w:p w14:paraId="63B0827C">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1.0000</w:t>
            </w:r>
          </w:p>
        </w:tc>
      </w:tr>
      <w:tr w14:paraId="4CB3684D">
        <w:trPr>
          <w:gridAfter w:val="1"/>
          <w:wAfter w:w="314" w:type="pct"/>
          <w:jc w:val="center"/>
        </w:trPr>
        <w:tc>
          <w:tcPr>
            <w:tcW w:w="969" w:type="pct"/>
            <w:tcBorders>
              <w:top w:val="nil"/>
              <w:bottom w:val="nil"/>
              <w:right w:val="nil"/>
            </w:tcBorders>
          </w:tcPr>
          <w:p w14:paraId="371E545E">
            <w:pPr>
              <w:pStyle w:val="69"/>
              <w:spacing w:line="360" w:lineRule="auto"/>
              <w:rPr>
                <w:rFonts w:ascii="Times New Roman" w:hAnsi="Times New Roman"/>
                <w:b/>
                <w:bCs/>
                <w:color w:val="000000"/>
                <w:sz w:val="20"/>
                <w:szCs w:val="20"/>
                <w14:ligatures w14:val="standardContextual"/>
              </w:rPr>
            </w:pPr>
            <w:bookmarkStart w:id="98" w:name="OLE_LINK210"/>
            <w:r>
              <w:rPr>
                <w:rFonts w:ascii="Times New Roman" w:hAnsi="Times New Roman"/>
                <w:b/>
                <w:bCs/>
                <w:color w:val="000000"/>
                <w:sz w:val="20"/>
                <w:szCs w:val="20"/>
                <w14:ligatures w14:val="standardContextual"/>
              </w:rPr>
              <w:t>TRADE</w:t>
            </w:r>
            <w:bookmarkEnd w:id="98"/>
          </w:p>
        </w:tc>
        <w:tc>
          <w:tcPr>
            <w:tcW w:w="929" w:type="pct"/>
            <w:tcBorders>
              <w:top w:val="nil"/>
              <w:left w:val="nil"/>
              <w:bottom w:val="nil"/>
              <w:right w:val="nil"/>
            </w:tcBorders>
          </w:tcPr>
          <w:p w14:paraId="219758CA">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-0.5002***</w:t>
            </w:r>
          </w:p>
        </w:tc>
        <w:tc>
          <w:tcPr>
            <w:tcW w:w="929" w:type="pct"/>
            <w:gridSpan w:val="2"/>
            <w:tcBorders>
              <w:top w:val="nil"/>
              <w:left w:val="nil"/>
              <w:bottom w:val="nil"/>
              <w:right w:val="nil"/>
            </w:tcBorders>
          </w:tcPr>
          <w:p w14:paraId="46361187">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-0.0550</w:t>
            </w:r>
          </w:p>
        </w:tc>
        <w:tc>
          <w:tcPr>
            <w:tcW w:w="929" w:type="pct"/>
            <w:gridSpan w:val="2"/>
            <w:tcBorders>
              <w:top w:val="nil"/>
              <w:left w:val="nil"/>
              <w:bottom w:val="nil"/>
              <w:right w:val="nil"/>
            </w:tcBorders>
          </w:tcPr>
          <w:p w14:paraId="234B4136">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0.2950***</w:t>
            </w:r>
          </w:p>
        </w:tc>
        <w:tc>
          <w:tcPr>
            <w:tcW w:w="930" w:type="pct"/>
            <w:gridSpan w:val="2"/>
            <w:tcBorders>
              <w:top w:val="nil"/>
              <w:left w:val="nil"/>
              <w:bottom w:val="nil"/>
              <w:right w:val="nil"/>
            </w:tcBorders>
          </w:tcPr>
          <w:p w14:paraId="19116DF1">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-0.1382***</w:t>
            </w:r>
          </w:p>
        </w:tc>
      </w:tr>
      <w:tr w14:paraId="0A43CF61">
        <w:trPr>
          <w:gridAfter w:val="1"/>
          <w:wAfter w:w="314" w:type="pct"/>
          <w:jc w:val="center"/>
        </w:trPr>
        <w:tc>
          <w:tcPr>
            <w:tcW w:w="969" w:type="pct"/>
            <w:tcBorders>
              <w:top w:val="nil"/>
              <w:bottom w:val="nil"/>
              <w:right w:val="nil"/>
            </w:tcBorders>
          </w:tcPr>
          <w:p w14:paraId="19B54331">
            <w:pPr>
              <w:pStyle w:val="69"/>
              <w:spacing w:line="360" w:lineRule="auto"/>
              <w:rPr>
                <w:rFonts w:ascii="Times New Roman" w:hAnsi="Times New Roman"/>
                <w:color w:val="000000"/>
                <w:sz w:val="20"/>
                <w:szCs w:val="20"/>
                <w14:ligatures w14:val="standardContextual"/>
              </w:rPr>
            </w:pPr>
            <w:r>
              <w:rPr>
                <w:rFonts w:ascii="Times New Roman" w:hAnsi="Times New Roman"/>
                <w:b/>
                <w:bCs/>
                <w:color w:val="000000"/>
                <w:sz w:val="20"/>
                <w:szCs w:val="20"/>
                <w14:ligatures w14:val="standardContextual"/>
              </w:rPr>
              <w:t>POP</w:t>
            </w:r>
          </w:p>
        </w:tc>
        <w:tc>
          <w:tcPr>
            <w:tcW w:w="929" w:type="pct"/>
            <w:tcBorders>
              <w:top w:val="nil"/>
              <w:left w:val="nil"/>
              <w:bottom w:val="nil"/>
              <w:right w:val="nil"/>
            </w:tcBorders>
          </w:tcPr>
          <w:p w14:paraId="59DF73E2">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-0.0021</w:t>
            </w:r>
          </w:p>
        </w:tc>
        <w:tc>
          <w:tcPr>
            <w:tcW w:w="929" w:type="pct"/>
            <w:gridSpan w:val="2"/>
            <w:tcBorders>
              <w:top w:val="nil"/>
              <w:left w:val="nil"/>
              <w:bottom w:val="nil"/>
              <w:right w:val="nil"/>
            </w:tcBorders>
          </w:tcPr>
          <w:p w14:paraId="6C6D9112">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0.4945***</w:t>
            </w:r>
          </w:p>
        </w:tc>
        <w:tc>
          <w:tcPr>
            <w:tcW w:w="929" w:type="pct"/>
            <w:gridSpan w:val="2"/>
            <w:tcBorders>
              <w:top w:val="nil"/>
              <w:left w:val="nil"/>
              <w:bottom w:val="nil"/>
              <w:right w:val="nil"/>
            </w:tcBorders>
          </w:tcPr>
          <w:p w14:paraId="426355ED">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0.2712***</w:t>
            </w:r>
          </w:p>
        </w:tc>
        <w:tc>
          <w:tcPr>
            <w:tcW w:w="930" w:type="pct"/>
            <w:gridSpan w:val="2"/>
            <w:tcBorders>
              <w:top w:val="nil"/>
              <w:left w:val="nil"/>
              <w:bottom w:val="nil"/>
              <w:right w:val="nil"/>
            </w:tcBorders>
          </w:tcPr>
          <w:p w14:paraId="77E43EA2">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0.1495**</w:t>
            </w:r>
          </w:p>
        </w:tc>
      </w:tr>
      <w:tr w14:paraId="5AD6B366">
        <w:trPr>
          <w:gridAfter w:val="1"/>
          <w:wAfter w:w="314" w:type="pct"/>
          <w:jc w:val="center"/>
        </w:trPr>
        <w:tc>
          <w:tcPr>
            <w:tcW w:w="969" w:type="pct"/>
            <w:tcBorders>
              <w:top w:val="nil"/>
              <w:bottom w:val="single" w:color="auto" w:sz="4" w:space="0"/>
              <w:right w:val="nil"/>
            </w:tcBorders>
          </w:tcPr>
          <w:p w14:paraId="66777FBF">
            <w:pPr>
              <w:pStyle w:val="69"/>
              <w:spacing w:line="360" w:lineRule="auto"/>
              <w:rPr>
                <w:rFonts w:ascii="Times New Roman" w:hAnsi="Times New Roman"/>
                <w:color w:val="000000"/>
                <w:sz w:val="20"/>
                <w:szCs w:val="20"/>
                <w14:ligatures w14:val="standardContextual"/>
              </w:rPr>
            </w:pPr>
            <w:r>
              <w:rPr>
                <w:rFonts w:ascii="Times New Roman" w:hAnsi="Times New Roman"/>
                <w:b/>
                <w:bCs/>
                <w:color w:val="000000"/>
                <w:sz w:val="20"/>
                <w:szCs w:val="20"/>
                <w14:ligatures w14:val="standardContextual"/>
              </w:rPr>
              <w:t>UP</w:t>
            </w:r>
          </w:p>
        </w:tc>
        <w:tc>
          <w:tcPr>
            <w:tcW w:w="929" w:type="pct"/>
            <w:tcBorders>
              <w:top w:val="nil"/>
              <w:left w:val="nil"/>
              <w:bottom w:val="single" w:color="auto" w:sz="4" w:space="0"/>
              <w:right w:val="nil"/>
            </w:tcBorders>
          </w:tcPr>
          <w:p w14:paraId="116CB57B">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0.5163***</w:t>
            </w:r>
          </w:p>
        </w:tc>
        <w:tc>
          <w:tcPr>
            <w:tcW w:w="929" w:type="pct"/>
            <w:gridSpan w:val="2"/>
            <w:tcBorders>
              <w:top w:val="nil"/>
              <w:left w:val="nil"/>
              <w:bottom w:val="single" w:color="auto" w:sz="4" w:space="0"/>
              <w:right w:val="nil"/>
            </w:tcBorders>
          </w:tcPr>
          <w:p w14:paraId="127AE32A">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-0.3935***</w:t>
            </w:r>
          </w:p>
        </w:tc>
        <w:tc>
          <w:tcPr>
            <w:tcW w:w="929" w:type="pct"/>
            <w:gridSpan w:val="2"/>
            <w:tcBorders>
              <w:top w:val="nil"/>
              <w:left w:val="nil"/>
              <w:bottom w:val="single" w:color="auto" w:sz="4" w:space="0"/>
              <w:right w:val="nil"/>
            </w:tcBorders>
          </w:tcPr>
          <w:p w14:paraId="0F696D92">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-0.1294***</w:t>
            </w:r>
          </w:p>
        </w:tc>
        <w:tc>
          <w:tcPr>
            <w:tcW w:w="930" w:type="pct"/>
            <w:gridSpan w:val="2"/>
            <w:tcBorders>
              <w:top w:val="nil"/>
              <w:left w:val="nil"/>
              <w:bottom w:val="single" w:color="auto" w:sz="4" w:space="0"/>
              <w:right w:val="nil"/>
            </w:tcBorders>
          </w:tcPr>
          <w:p w14:paraId="5A9D2D10">
            <w:pPr>
              <w:pStyle w:val="69"/>
              <w:spacing w:line="360" w:lineRule="auto"/>
              <w:rPr>
                <w:rFonts w:ascii="Times New Roman" w:hAnsi="Times New Roman"/>
                <w:color w:val="000000"/>
                <w:sz w:val="20"/>
                <w:szCs w:val="20"/>
                <w14:ligatures w14:val="standardContextual"/>
              </w:rPr>
            </w:pPr>
            <w:r>
              <w:rPr>
                <w:rFonts w:ascii="Times New Roman" w:hAnsi="Times New Roman"/>
                <w:color w:val="000000"/>
                <w:sz w:val="20"/>
                <w:szCs w:val="20"/>
                <w14:ligatures w14:val="standardContextual"/>
              </w:rPr>
              <w:t>-0.2432***</w:t>
            </w:r>
          </w:p>
        </w:tc>
      </w:tr>
    </w:tbl>
    <w:p w14:paraId="79AD422B">
      <w:pPr>
        <w:rPr>
          <w:rFonts w:cs="Times New Roman"/>
          <w:i/>
          <w:iCs/>
          <w:color w:val="000000"/>
          <w:sz w:val="20"/>
          <w:szCs w:val="20"/>
        </w:rPr>
      </w:pPr>
      <w:r>
        <w:rPr>
          <w:rFonts w:cs="Times New Roman"/>
          <w:i/>
          <w:iCs/>
          <w:color w:val="000000"/>
          <w:sz w:val="20"/>
          <w:szCs w:val="20"/>
        </w:rPr>
        <w:t xml:space="preserve">All analyses are conducted using Stata. The asterisks *, **, and *** indicate statistical significance at the 10%, 5%, and 1% levels, respectively. </w:t>
      </w:r>
    </w:p>
    <w:p w14:paraId="06D05DF7">
      <w:pPr>
        <w:pStyle w:val="3"/>
        <w:numPr>
          <w:ilvl w:val="1"/>
          <w:numId w:val="0"/>
        </w:numPr>
        <w:ind w:leftChars="0"/>
      </w:pPr>
      <w:bookmarkStart w:id="99" w:name="_Toc201079596"/>
      <w:bookmarkStart w:id="100" w:name="_Toc202552661"/>
      <w:bookmarkStart w:id="101" w:name="_Toc216969535"/>
      <w:bookmarkStart w:id="102" w:name="_Toc212728560"/>
      <w:bookmarkStart w:id="103" w:name="_Toc903"/>
      <w:r>
        <w:t>Baseline Results</w:t>
      </w:r>
      <w:bookmarkEnd w:id="99"/>
      <w:bookmarkEnd w:id="100"/>
      <w:bookmarkEnd w:id="101"/>
      <w:bookmarkEnd w:id="102"/>
      <w:bookmarkEnd w:id="103"/>
    </w:p>
    <w:p w14:paraId="02B18741">
      <w:pPr>
        <w:pStyle w:val="4"/>
        <w:numPr>
          <w:ilvl w:val="2"/>
          <w:numId w:val="0"/>
        </w:numPr>
        <w:ind w:leftChars="0"/>
      </w:pPr>
      <w:bookmarkStart w:id="104" w:name="_Toc216969536"/>
      <w:r>
        <w:t>Model 1 Results</w:t>
      </w:r>
      <w:bookmarkEnd w:id="104"/>
    </w:p>
    <w:p w14:paraId="6F9E76C4">
      <w:pPr>
        <w:pStyle w:val="7"/>
      </w:pPr>
      <w:bookmarkStart w:id="105" w:name="_Toc216867794"/>
      <w:r>
        <w:t xml:space="preserve">Table </w:t>
      </w:r>
      <w:r>
        <w:rPr>
          <w:rFonts w:hint="eastAsia" w:eastAsia="宋体"/>
          <w:lang w:val="en-US" w:eastAsia="zh-CN"/>
        </w:rPr>
        <w:t xml:space="preserve">5 </w:t>
      </w:r>
      <w:r>
        <w:t>Baseline Estimation Results (Model 1)</w:t>
      </w:r>
      <w:bookmarkEnd w:id="105"/>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402"/>
        <w:gridCol w:w="1232"/>
        <w:gridCol w:w="1481"/>
        <w:gridCol w:w="1532"/>
        <w:gridCol w:w="1530"/>
      </w:tblGrid>
      <w:tr w14:paraId="2604BB08">
        <w:tc>
          <w:tcPr>
            <w:tcW w:w="746" w:type="pct"/>
            <w:tcBorders>
              <w:top w:val="single" w:color="auto" w:sz="4" w:space="0"/>
              <w:left w:val="nil"/>
              <w:bottom w:val="nil"/>
              <w:right w:val="nil"/>
            </w:tcBorders>
          </w:tcPr>
          <w:p w14:paraId="2D3F3937">
            <w:pPr>
              <w:pStyle w:val="69"/>
              <w:spacing w:line="360" w:lineRule="auto"/>
              <w:rPr>
                <w:rFonts w:ascii="Times New Roman" w:hAnsi="Times New Roman"/>
                <w:color w:val="000000"/>
                <w:sz w:val="20"/>
                <w:szCs w:val="20"/>
              </w:rPr>
            </w:pPr>
            <w:bookmarkStart w:id="106" w:name="OLE_LINK20"/>
            <w:r>
              <w:rPr>
                <w:rFonts w:ascii="Times New Roman" w:hAnsi="Times New Roman"/>
                <w:color w:val="000000"/>
                <w:sz w:val="20"/>
                <w:szCs w:val="20"/>
              </w:rPr>
              <w:t>Dependent variable</w:t>
            </w:r>
          </w:p>
        </w:tc>
        <w:tc>
          <w:tcPr>
            <w:tcW w:w="831" w:type="pct"/>
            <w:tcBorders>
              <w:top w:val="single" w:color="auto" w:sz="4" w:space="0"/>
              <w:left w:val="nil"/>
              <w:bottom w:val="single" w:color="auto" w:sz="4" w:space="0"/>
              <w:right w:val="nil"/>
            </w:tcBorders>
            <w:vAlign w:val="center"/>
          </w:tcPr>
          <w:p w14:paraId="6D82AEB2">
            <w:pPr>
              <w:pStyle w:val="69"/>
              <w:spacing w:line="360" w:lineRule="auto"/>
              <w:rPr>
                <w:rFonts w:ascii="Times New Roman" w:hAnsi="Times New Roman"/>
                <w:color w:val="000000"/>
                <w:sz w:val="20"/>
                <w:szCs w:val="20"/>
              </w:rPr>
            </w:pPr>
            <w:r>
              <w:rPr>
                <w:rFonts w:ascii="Times New Roman" w:hAnsi="Times New Roman"/>
                <w:color w:val="000000"/>
                <w:sz w:val="20"/>
                <w:szCs w:val="20"/>
              </w:rPr>
              <w:t>(1) GDP</w:t>
            </w:r>
          </w:p>
        </w:tc>
        <w:tc>
          <w:tcPr>
            <w:tcW w:w="730" w:type="pct"/>
            <w:tcBorders>
              <w:top w:val="single" w:color="auto" w:sz="4" w:space="0"/>
              <w:left w:val="nil"/>
              <w:bottom w:val="single" w:color="auto" w:sz="4" w:space="0"/>
              <w:right w:val="nil"/>
            </w:tcBorders>
            <w:vAlign w:val="center"/>
          </w:tcPr>
          <w:p w14:paraId="4974D9F3">
            <w:pPr>
              <w:pStyle w:val="69"/>
              <w:spacing w:line="360" w:lineRule="auto"/>
              <w:rPr>
                <w:rFonts w:ascii="Times New Roman" w:hAnsi="Times New Roman"/>
                <w:color w:val="000000"/>
                <w:sz w:val="20"/>
                <w:szCs w:val="20"/>
              </w:rPr>
            </w:pPr>
            <w:r>
              <w:rPr>
                <w:rFonts w:ascii="Times New Roman" w:hAnsi="Times New Roman"/>
                <w:color w:val="000000"/>
                <w:sz w:val="20"/>
                <w:szCs w:val="20"/>
              </w:rPr>
              <w:t>(2) UE</w:t>
            </w:r>
          </w:p>
        </w:tc>
        <w:tc>
          <w:tcPr>
            <w:tcW w:w="878" w:type="pct"/>
            <w:tcBorders>
              <w:top w:val="single" w:color="auto" w:sz="4" w:space="0"/>
              <w:left w:val="nil"/>
              <w:bottom w:val="single" w:color="auto" w:sz="4" w:space="0"/>
              <w:right w:val="nil"/>
            </w:tcBorders>
            <w:vAlign w:val="center"/>
          </w:tcPr>
          <w:p w14:paraId="22DA1FB6">
            <w:pPr>
              <w:pStyle w:val="69"/>
              <w:spacing w:line="360" w:lineRule="auto"/>
              <w:rPr>
                <w:rFonts w:ascii="Times New Roman" w:hAnsi="Times New Roman"/>
                <w:color w:val="000000"/>
                <w:sz w:val="20"/>
                <w:szCs w:val="20"/>
              </w:rPr>
            </w:pPr>
            <w:r>
              <w:rPr>
                <w:rFonts w:ascii="Times New Roman" w:hAnsi="Times New Roman"/>
                <w:color w:val="000000"/>
                <w:sz w:val="20"/>
                <w:szCs w:val="20"/>
              </w:rPr>
              <w:t>(3) AR</w:t>
            </w:r>
          </w:p>
        </w:tc>
        <w:tc>
          <w:tcPr>
            <w:tcW w:w="908" w:type="pct"/>
            <w:tcBorders>
              <w:left w:val="nil"/>
              <w:bottom w:val="single" w:color="auto" w:sz="4" w:space="0"/>
              <w:right w:val="nil"/>
            </w:tcBorders>
            <w:vAlign w:val="center"/>
          </w:tcPr>
          <w:p w14:paraId="24FF5A31">
            <w:pPr>
              <w:pStyle w:val="69"/>
              <w:spacing w:line="360" w:lineRule="auto"/>
              <w:rPr>
                <w:rFonts w:ascii="Times New Roman" w:hAnsi="Times New Roman"/>
                <w:color w:val="000000"/>
                <w:sz w:val="20"/>
                <w:szCs w:val="20"/>
              </w:rPr>
            </w:pPr>
            <w:r>
              <w:rPr>
                <w:rFonts w:ascii="Times New Roman" w:hAnsi="Times New Roman"/>
                <w:color w:val="000000"/>
                <w:sz w:val="20"/>
                <w:szCs w:val="20"/>
              </w:rPr>
              <w:t>(4) FDI</w:t>
            </w:r>
          </w:p>
        </w:tc>
        <w:tc>
          <w:tcPr>
            <w:tcW w:w="907" w:type="pct"/>
            <w:tcBorders>
              <w:left w:val="nil"/>
              <w:bottom w:val="single" w:color="auto" w:sz="4" w:space="0"/>
            </w:tcBorders>
            <w:vAlign w:val="center"/>
          </w:tcPr>
          <w:p w14:paraId="7333D1CE">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(5) </w:t>
            </w:r>
            <w:bookmarkStart w:id="107" w:name="OLE_LINK208"/>
            <w:r>
              <w:rPr>
                <w:rFonts w:ascii="Times New Roman" w:hAnsi="Times New Roman"/>
                <w:color w:val="000000"/>
                <w:sz w:val="20"/>
                <w:szCs w:val="20"/>
              </w:rPr>
              <w:t>INFLA</w:t>
            </w:r>
            <w:bookmarkEnd w:id="107"/>
          </w:p>
        </w:tc>
      </w:tr>
      <w:tr w14:paraId="0365AAB0">
        <w:tc>
          <w:tcPr>
            <w:tcW w:w="746" w:type="pct"/>
            <w:tcBorders>
              <w:top w:val="nil"/>
              <w:left w:val="nil"/>
              <w:bottom w:val="nil"/>
              <w:right w:val="nil"/>
            </w:tcBorders>
          </w:tcPr>
          <w:p w14:paraId="1E87EAAA">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831" w:type="pct"/>
            <w:tcBorders>
              <w:top w:val="single" w:color="auto" w:sz="4" w:space="0"/>
              <w:left w:val="nil"/>
              <w:bottom w:val="single" w:color="auto" w:sz="4" w:space="0"/>
              <w:right w:val="nil"/>
            </w:tcBorders>
            <w:vAlign w:val="center"/>
          </w:tcPr>
          <w:p w14:paraId="5F423D8B">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730" w:type="pct"/>
            <w:tcBorders>
              <w:top w:val="single" w:color="auto" w:sz="4" w:space="0"/>
              <w:left w:val="nil"/>
              <w:bottom w:val="single" w:color="auto" w:sz="4" w:space="0"/>
              <w:right w:val="nil"/>
            </w:tcBorders>
            <w:vAlign w:val="center"/>
          </w:tcPr>
          <w:p w14:paraId="0B3FE9C5">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78" w:type="pct"/>
            <w:tcBorders>
              <w:top w:val="single" w:color="auto" w:sz="4" w:space="0"/>
              <w:left w:val="nil"/>
              <w:bottom w:val="single" w:color="auto" w:sz="4" w:space="0"/>
              <w:right w:val="nil"/>
            </w:tcBorders>
            <w:vAlign w:val="center"/>
          </w:tcPr>
          <w:p w14:paraId="2DF7F01A">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08" w:type="pct"/>
            <w:tcBorders>
              <w:top w:val="single" w:color="auto" w:sz="4" w:space="0"/>
              <w:left w:val="nil"/>
              <w:bottom w:val="single" w:color="auto" w:sz="4" w:space="0"/>
              <w:right w:val="nil"/>
            </w:tcBorders>
            <w:vAlign w:val="center"/>
          </w:tcPr>
          <w:p w14:paraId="1BC2DE81">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07" w:type="pct"/>
            <w:tcBorders>
              <w:left w:val="nil"/>
              <w:bottom w:val="single" w:color="auto" w:sz="4" w:space="0"/>
            </w:tcBorders>
            <w:vAlign w:val="center"/>
          </w:tcPr>
          <w:p w14:paraId="1DDEB22A">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20917033">
        <w:tc>
          <w:tcPr>
            <w:tcW w:w="746" w:type="pct"/>
            <w:tcBorders>
              <w:top w:val="single" w:color="auto" w:sz="4" w:space="0"/>
              <w:left w:val="nil"/>
              <w:bottom w:val="nil"/>
              <w:right w:val="nil"/>
            </w:tcBorders>
          </w:tcPr>
          <w:p w14:paraId="6E51C29B">
            <w:pPr>
              <w:pStyle w:val="69"/>
              <w:spacing w:line="360" w:lineRule="auto"/>
              <w:rPr>
                <w:rFonts w:ascii="Times New Roman" w:hAnsi="Times New Roman"/>
                <w:color w:val="000000"/>
                <w:sz w:val="20"/>
                <w:szCs w:val="20"/>
              </w:rPr>
            </w:pPr>
            <w:bookmarkStart w:id="108" w:name="OLE_LINK61"/>
            <w:r>
              <w:rPr>
                <w:rFonts w:ascii="Times New Roman" w:hAnsi="Times New Roman"/>
                <w:color w:val="000000"/>
                <w:sz w:val="20"/>
                <w:szCs w:val="20"/>
              </w:rPr>
              <w:t>TEI_agri</w:t>
            </w:r>
            <w:bookmarkEnd w:id="108"/>
          </w:p>
        </w:tc>
        <w:tc>
          <w:tcPr>
            <w:tcW w:w="831" w:type="pct"/>
            <w:tcBorders>
              <w:top w:val="single" w:color="auto" w:sz="4" w:space="0"/>
              <w:left w:val="nil"/>
              <w:bottom w:val="nil"/>
              <w:right w:val="nil"/>
            </w:tcBorders>
          </w:tcPr>
          <w:p w14:paraId="51A395A4">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0.0093749***</w:t>
            </w:r>
          </w:p>
        </w:tc>
        <w:tc>
          <w:tcPr>
            <w:tcW w:w="730" w:type="pct"/>
            <w:tcBorders>
              <w:top w:val="single" w:color="auto" w:sz="4" w:space="0"/>
              <w:left w:val="nil"/>
              <w:bottom w:val="nil"/>
              <w:right w:val="nil"/>
            </w:tcBorders>
          </w:tcPr>
          <w:p w14:paraId="0BB08C9F">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-0.0015467</w:t>
            </w:r>
          </w:p>
        </w:tc>
        <w:tc>
          <w:tcPr>
            <w:tcW w:w="878" w:type="pct"/>
            <w:tcBorders>
              <w:top w:val="single" w:color="auto" w:sz="4" w:space="0"/>
              <w:left w:val="nil"/>
              <w:bottom w:val="nil"/>
              <w:right w:val="nil"/>
            </w:tcBorders>
          </w:tcPr>
          <w:p w14:paraId="0F0F73A6">
            <w:pPr>
              <w:pStyle w:val="69"/>
              <w:spacing w:line="360" w:lineRule="auto"/>
              <w:rPr>
                <w:rFonts w:ascii="Times New Roman" w:hAnsi="Times New Roman"/>
                <w:color w:val="000000"/>
                <w:sz w:val="20"/>
                <w:szCs w:val="20"/>
              </w:rPr>
            </w:pPr>
            <w:r>
              <w:rPr>
                <w:rFonts w:ascii="Times New Roman" w:hAnsi="Times New Roman"/>
                <w:color w:val="000000"/>
                <w:sz w:val="20"/>
                <w:szCs w:val="20"/>
              </w:rPr>
              <w:t>0.0206008***</w:t>
            </w:r>
          </w:p>
        </w:tc>
        <w:tc>
          <w:tcPr>
            <w:tcW w:w="908" w:type="pct"/>
            <w:tcBorders>
              <w:top w:val="single" w:color="auto" w:sz="4" w:space="0"/>
              <w:left w:val="nil"/>
              <w:bottom w:val="nil"/>
              <w:right w:val="nil"/>
            </w:tcBorders>
          </w:tcPr>
          <w:p w14:paraId="5ED47082">
            <w:pPr>
              <w:pStyle w:val="69"/>
              <w:spacing w:line="360" w:lineRule="auto"/>
              <w:rPr>
                <w:rFonts w:ascii="Times New Roman" w:hAnsi="Times New Roman"/>
                <w:color w:val="000000"/>
                <w:sz w:val="20"/>
                <w:szCs w:val="20"/>
              </w:rPr>
            </w:pPr>
            <w:r>
              <w:rPr>
                <w:rFonts w:ascii="Times New Roman" w:hAnsi="Times New Roman"/>
                <w:color w:val="000000"/>
                <w:sz w:val="20"/>
                <w:szCs w:val="20"/>
              </w:rPr>
              <w:t>0.0002655</w:t>
            </w:r>
          </w:p>
        </w:tc>
        <w:tc>
          <w:tcPr>
            <w:tcW w:w="907" w:type="pct"/>
            <w:tcBorders>
              <w:left w:val="nil"/>
              <w:bottom w:val="nil"/>
            </w:tcBorders>
          </w:tcPr>
          <w:p w14:paraId="16ED16D4">
            <w:pPr>
              <w:pStyle w:val="69"/>
              <w:spacing w:line="360" w:lineRule="auto"/>
              <w:rPr>
                <w:rFonts w:ascii="Times New Roman" w:hAnsi="Times New Roman"/>
                <w:color w:val="000000"/>
                <w:sz w:val="20"/>
                <w:szCs w:val="20"/>
              </w:rPr>
            </w:pPr>
            <w:r>
              <w:rPr>
                <w:rFonts w:ascii="Times New Roman" w:hAnsi="Times New Roman"/>
                <w:color w:val="000000"/>
                <w:sz w:val="20"/>
                <w:szCs w:val="20"/>
              </w:rPr>
              <w:t>0.0354274**</w:t>
            </w:r>
          </w:p>
        </w:tc>
      </w:tr>
      <w:tr w14:paraId="354B0A34">
        <w:tc>
          <w:tcPr>
            <w:tcW w:w="746" w:type="pct"/>
            <w:tcBorders>
              <w:top w:val="nil"/>
              <w:left w:val="nil"/>
              <w:bottom w:val="nil"/>
              <w:right w:val="nil"/>
            </w:tcBorders>
          </w:tcPr>
          <w:p w14:paraId="068A1C50">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7B6CDCFC">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(0.0030586)</w:t>
            </w:r>
          </w:p>
        </w:tc>
        <w:tc>
          <w:tcPr>
            <w:tcW w:w="730" w:type="pct"/>
            <w:tcBorders>
              <w:top w:val="nil"/>
              <w:left w:val="nil"/>
              <w:bottom w:val="nil"/>
              <w:right w:val="nil"/>
            </w:tcBorders>
          </w:tcPr>
          <w:p w14:paraId="1A66AB08">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(0.0012645)</w:t>
            </w:r>
          </w:p>
        </w:tc>
        <w:tc>
          <w:tcPr>
            <w:tcW w:w="878" w:type="pct"/>
            <w:tcBorders>
              <w:top w:val="nil"/>
              <w:left w:val="nil"/>
              <w:bottom w:val="nil"/>
              <w:right w:val="nil"/>
            </w:tcBorders>
          </w:tcPr>
          <w:p w14:paraId="6FBC1291">
            <w:pPr>
              <w:pStyle w:val="69"/>
              <w:spacing w:line="360" w:lineRule="auto"/>
              <w:rPr>
                <w:rFonts w:ascii="Times New Roman" w:hAnsi="Times New Roman"/>
                <w:color w:val="000000"/>
                <w:sz w:val="20"/>
                <w:szCs w:val="20"/>
              </w:rPr>
            </w:pPr>
            <w:r>
              <w:rPr>
                <w:rFonts w:ascii="Times New Roman" w:hAnsi="Times New Roman"/>
                <w:color w:val="000000"/>
                <w:sz w:val="20"/>
                <w:szCs w:val="20"/>
              </w:rPr>
              <w:t>(0.0065632)</w:t>
            </w:r>
          </w:p>
        </w:tc>
        <w:tc>
          <w:tcPr>
            <w:tcW w:w="908" w:type="pct"/>
            <w:tcBorders>
              <w:top w:val="nil"/>
              <w:left w:val="nil"/>
              <w:bottom w:val="nil"/>
              <w:right w:val="nil"/>
            </w:tcBorders>
          </w:tcPr>
          <w:p w14:paraId="1D213B84">
            <w:pPr>
              <w:pStyle w:val="69"/>
              <w:spacing w:line="360" w:lineRule="auto"/>
              <w:rPr>
                <w:rFonts w:ascii="Times New Roman" w:hAnsi="Times New Roman"/>
                <w:color w:val="000000"/>
                <w:sz w:val="20"/>
                <w:szCs w:val="20"/>
              </w:rPr>
            </w:pPr>
            <w:r>
              <w:rPr>
                <w:rFonts w:ascii="Times New Roman" w:hAnsi="Times New Roman"/>
                <w:color w:val="000000"/>
                <w:sz w:val="20"/>
                <w:szCs w:val="20"/>
              </w:rPr>
              <w:t>(0.0035122)</w:t>
            </w:r>
          </w:p>
        </w:tc>
        <w:tc>
          <w:tcPr>
            <w:tcW w:w="907" w:type="pct"/>
            <w:tcBorders>
              <w:top w:val="nil"/>
              <w:left w:val="nil"/>
              <w:bottom w:val="nil"/>
            </w:tcBorders>
          </w:tcPr>
          <w:p w14:paraId="1EF4ED94">
            <w:pPr>
              <w:pStyle w:val="69"/>
              <w:spacing w:line="360" w:lineRule="auto"/>
              <w:rPr>
                <w:rFonts w:ascii="Times New Roman" w:hAnsi="Times New Roman"/>
                <w:color w:val="000000"/>
                <w:sz w:val="20"/>
                <w:szCs w:val="20"/>
              </w:rPr>
            </w:pPr>
            <w:r>
              <w:rPr>
                <w:rFonts w:ascii="Times New Roman" w:hAnsi="Times New Roman"/>
                <w:color w:val="000000"/>
                <w:sz w:val="20"/>
                <w:szCs w:val="20"/>
              </w:rPr>
              <w:t>(0.0122397)</w:t>
            </w:r>
          </w:p>
        </w:tc>
      </w:tr>
      <w:tr w14:paraId="5D5AB71C">
        <w:tc>
          <w:tcPr>
            <w:tcW w:w="746" w:type="pct"/>
            <w:tcBorders>
              <w:top w:val="nil"/>
              <w:left w:val="nil"/>
              <w:bottom w:val="nil"/>
              <w:right w:val="nil"/>
            </w:tcBorders>
          </w:tcPr>
          <w:p w14:paraId="1AD332A7">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831" w:type="pct"/>
            <w:tcBorders>
              <w:top w:val="nil"/>
              <w:left w:val="nil"/>
              <w:bottom w:val="nil"/>
              <w:right w:val="nil"/>
            </w:tcBorders>
          </w:tcPr>
          <w:p w14:paraId="334AE844">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-0.0268839</w:t>
            </w:r>
          </w:p>
        </w:tc>
        <w:tc>
          <w:tcPr>
            <w:tcW w:w="730" w:type="pct"/>
            <w:tcBorders>
              <w:top w:val="nil"/>
              <w:left w:val="nil"/>
              <w:bottom w:val="nil"/>
              <w:right w:val="nil"/>
            </w:tcBorders>
          </w:tcPr>
          <w:p w14:paraId="5BBD4A00">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0.0182666*</w:t>
            </w:r>
          </w:p>
        </w:tc>
        <w:tc>
          <w:tcPr>
            <w:tcW w:w="878" w:type="pct"/>
            <w:tcBorders>
              <w:top w:val="nil"/>
              <w:left w:val="nil"/>
              <w:bottom w:val="nil"/>
              <w:right w:val="nil"/>
            </w:tcBorders>
          </w:tcPr>
          <w:p w14:paraId="07CCBEEA">
            <w:pPr>
              <w:pStyle w:val="69"/>
              <w:spacing w:line="360" w:lineRule="auto"/>
              <w:rPr>
                <w:rFonts w:ascii="Times New Roman" w:hAnsi="Times New Roman"/>
                <w:color w:val="000000"/>
                <w:sz w:val="20"/>
                <w:szCs w:val="20"/>
              </w:rPr>
            </w:pPr>
            <w:r>
              <w:rPr>
                <w:rFonts w:ascii="Times New Roman" w:hAnsi="Times New Roman"/>
                <w:color w:val="000000"/>
                <w:sz w:val="20"/>
                <w:szCs w:val="20"/>
              </w:rPr>
              <w:t>-0.1116375</w:t>
            </w:r>
          </w:p>
        </w:tc>
        <w:tc>
          <w:tcPr>
            <w:tcW w:w="908" w:type="pct"/>
            <w:tcBorders>
              <w:top w:val="nil"/>
              <w:left w:val="nil"/>
              <w:bottom w:val="nil"/>
              <w:right w:val="nil"/>
            </w:tcBorders>
          </w:tcPr>
          <w:p w14:paraId="54C4D379">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0.0152027*  </w:t>
            </w:r>
          </w:p>
        </w:tc>
        <w:tc>
          <w:tcPr>
            <w:tcW w:w="907" w:type="pct"/>
            <w:tcBorders>
              <w:top w:val="nil"/>
              <w:left w:val="nil"/>
              <w:bottom w:val="nil"/>
            </w:tcBorders>
          </w:tcPr>
          <w:p w14:paraId="1DF1B934">
            <w:pPr>
              <w:pStyle w:val="69"/>
              <w:spacing w:line="360" w:lineRule="auto"/>
              <w:rPr>
                <w:rFonts w:ascii="Times New Roman" w:hAnsi="Times New Roman"/>
                <w:color w:val="000000"/>
                <w:sz w:val="20"/>
                <w:szCs w:val="20"/>
              </w:rPr>
            </w:pPr>
            <w:r>
              <w:rPr>
                <w:rFonts w:ascii="Times New Roman" w:hAnsi="Times New Roman"/>
                <w:color w:val="000000"/>
                <w:sz w:val="20"/>
                <w:szCs w:val="20"/>
              </w:rPr>
              <w:t>-0.0330381</w:t>
            </w:r>
          </w:p>
        </w:tc>
      </w:tr>
      <w:tr w14:paraId="6C6B83A3">
        <w:tc>
          <w:tcPr>
            <w:tcW w:w="746" w:type="pct"/>
            <w:tcBorders>
              <w:top w:val="nil"/>
              <w:left w:val="nil"/>
              <w:bottom w:val="nil"/>
              <w:right w:val="nil"/>
            </w:tcBorders>
          </w:tcPr>
          <w:p w14:paraId="7C2FA85A">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4B5A7636">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(0.0319876)</w:t>
            </w:r>
          </w:p>
        </w:tc>
        <w:tc>
          <w:tcPr>
            <w:tcW w:w="730" w:type="pct"/>
            <w:tcBorders>
              <w:top w:val="nil"/>
              <w:left w:val="nil"/>
              <w:bottom w:val="nil"/>
              <w:right w:val="nil"/>
            </w:tcBorders>
          </w:tcPr>
          <w:p w14:paraId="6875D6A6">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(0.009253)</w:t>
            </w:r>
          </w:p>
        </w:tc>
        <w:tc>
          <w:tcPr>
            <w:tcW w:w="878" w:type="pct"/>
            <w:tcBorders>
              <w:top w:val="nil"/>
              <w:left w:val="nil"/>
              <w:bottom w:val="nil"/>
              <w:right w:val="nil"/>
            </w:tcBorders>
          </w:tcPr>
          <w:p w14:paraId="0BB880C4">
            <w:pPr>
              <w:pStyle w:val="69"/>
              <w:spacing w:line="360" w:lineRule="auto"/>
              <w:rPr>
                <w:rFonts w:ascii="Times New Roman" w:hAnsi="Times New Roman"/>
                <w:color w:val="000000"/>
                <w:sz w:val="20"/>
                <w:szCs w:val="20"/>
              </w:rPr>
            </w:pPr>
            <w:r>
              <w:rPr>
                <w:rFonts w:ascii="Times New Roman" w:hAnsi="Times New Roman"/>
                <w:color w:val="000000"/>
                <w:sz w:val="20"/>
                <w:szCs w:val="20"/>
              </w:rPr>
              <w:t>(0.0688265)</w:t>
            </w:r>
          </w:p>
        </w:tc>
        <w:tc>
          <w:tcPr>
            <w:tcW w:w="908" w:type="pct"/>
            <w:tcBorders>
              <w:top w:val="nil"/>
              <w:left w:val="nil"/>
              <w:bottom w:val="nil"/>
              <w:right w:val="nil"/>
            </w:tcBorders>
          </w:tcPr>
          <w:p w14:paraId="4030863E">
            <w:pPr>
              <w:pStyle w:val="69"/>
              <w:spacing w:line="360" w:lineRule="auto"/>
              <w:rPr>
                <w:rFonts w:ascii="Times New Roman" w:hAnsi="Times New Roman"/>
                <w:color w:val="000000"/>
                <w:sz w:val="20"/>
                <w:szCs w:val="20"/>
              </w:rPr>
            </w:pPr>
            <w:r>
              <w:rPr>
                <w:rFonts w:ascii="Times New Roman" w:hAnsi="Times New Roman"/>
                <w:color w:val="000000"/>
                <w:sz w:val="20"/>
                <w:szCs w:val="20"/>
              </w:rPr>
              <w:t>(0.0085073)</w:t>
            </w:r>
          </w:p>
        </w:tc>
        <w:tc>
          <w:tcPr>
            <w:tcW w:w="907" w:type="pct"/>
            <w:tcBorders>
              <w:top w:val="nil"/>
              <w:left w:val="nil"/>
              <w:bottom w:val="nil"/>
            </w:tcBorders>
          </w:tcPr>
          <w:p w14:paraId="209AC45A">
            <w:pPr>
              <w:pStyle w:val="69"/>
              <w:spacing w:line="360" w:lineRule="auto"/>
              <w:rPr>
                <w:rFonts w:ascii="Times New Roman" w:hAnsi="Times New Roman"/>
                <w:color w:val="000000"/>
                <w:sz w:val="20"/>
                <w:szCs w:val="20"/>
              </w:rPr>
            </w:pPr>
            <w:r>
              <w:rPr>
                <w:rFonts w:ascii="Times New Roman" w:hAnsi="Times New Roman"/>
                <w:color w:val="000000"/>
                <w:sz w:val="20"/>
                <w:szCs w:val="20"/>
              </w:rPr>
              <w:t>(0.0272361)</w:t>
            </w:r>
          </w:p>
        </w:tc>
      </w:tr>
      <w:tr w14:paraId="310463F6">
        <w:trPr>
          <w:trHeight w:val="90" w:hRule="atLeast"/>
        </w:trPr>
        <w:tc>
          <w:tcPr>
            <w:tcW w:w="746" w:type="pct"/>
            <w:tcBorders>
              <w:top w:val="nil"/>
              <w:left w:val="nil"/>
              <w:bottom w:val="nil"/>
              <w:right w:val="nil"/>
            </w:tcBorders>
          </w:tcPr>
          <w:p w14:paraId="73A60756">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831" w:type="pct"/>
            <w:tcBorders>
              <w:top w:val="nil"/>
              <w:left w:val="nil"/>
              <w:bottom w:val="nil"/>
              <w:right w:val="nil"/>
            </w:tcBorders>
          </w:tcPr>
          <w:p w14:paraId="43746980">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-1.01129</w:t>
            </w:r>
          </w:p>
        </w:tc>
        <w:tc>
          <w:tcPr>
            <w:tcW w:w="730" w:type="pct"/>
            <w:tcBorders>
              <w:top w:val="nil"/>
              <w:left w:val="nil"/>
              <w:bottom w:val="nil"/>
              <w:right w:val="nil"/>
            </w:tcBorders>
          </w:tcPr>
          <w:p w14:paraId="640025B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0.177214</w:t>
            </w:r>
          </w:p>
        </w:tc>
        <w:tc>
          <w:tcPr>
            <w:tcW w:w="878" w:type="pct"/>
            <w:tcBorders>
              <w:top w:val="nil"/>
              <w:left w:val="nil"/>
              <w:bottom w:val="nil"/>
              <w:right w:val="nil"/>
            </w:tcBorders>
          </w:tcPr>
          <w:p w14:paraId="74B30177">
            <w:pPr>
              <w:pStyle w:val="69"/>
              <w:spacing w:line="360" w:lineRule="auto"/>
              <w:rPr>
                <w:rFonts w:ascii="Times New Roman" w:hAnsi="Times New Roman"/>
                <w:color w:val="000000"/>
                <w:sz w:val="20"/>
                <w:szCs w:val="20"/>
              </w:rPr>
            </w:pPr>
            <w:r>
              <w:rPr>
                <w:rFonts w:ascii="Times New Roman" w:hAnsi="Times New Roman"/>
                <w:color w:val="000000"/>
                <w:sz w:val="20"/>
                <w:szCs w:val="20"/>
              </w:rPr>
              <w:t>-0.794657</w:t>
            </w:r>
          </w:p>
        </w:tc>
        <w:tc>
          <w:tcPr>
            <w:tcW w:w="908" w:type="pct"/>
            <w:tcBorders>
              <w:top w:val="nil"/>
              <w:left w:val="nil"/>
              <w:bottom w:val="nil"/>
              <w:right w:val="nil"/>
            </w:tcBorders>
          </w:tcPr>
          <w:p w14:paraId="124C3057">
            <w:pPr>
              <w:pStyle w:val="69"/>
              <w:spacing w:line="360" w:lineRule="auto"/>
              <w:rPr>
                <w:rFonts w:ascii="Times New Roman" w:hAnsi="Times New Roman"/>
                <w:color w:val="000000"/>
                <w:sz w:val="20"/>
                <w:szCs w:val="20"/>
              </w:rPr>
            </w:pPr>
            <w:r>
              <w:rPr>
                <w:rFonts w:ascii="Times New Roman" w:hAnsi="Times New Roman"/>
                <w:color w:val="000000"/>
                <w:sz w:val="20"/>
                <w:szCs w:val="20"/>
              </w:rPr>
              <w:t>0.4246732</w:t>
            </w:r>
          </w:p>
        </w:tc>
        <w:tc>
          <w:tcPr>
            <w:tcW w:w="907" w:type="pct"/>
            <w:tcBorders>
              <w:top w:val="nil"/>
              <w:left w:val="nil"/>
              <w:bottom w:val="nil"/>
            </w:tcBorders>
          </w:tcPr>
          <w:p w14:paraId="0FE721B2">
            <w:pPr>
              <w:pStyle w:val="69"/>
              <w:spacing w:line="360" w:lineRule="auto"/>
              <w:rPr>
                <w:rFonts w:ascii="Times New Roman" w:hAnsi="Times New Roman"/>
                <w:color w:val="000000"/>
                <w:sz w:val="20"/>
                <w:szCs w:val="20"/>
              </w:rPr>
            </w:pPr>
            <w:r>
              <w:rPr>
                <w:rFonts w:ascii="Times New Roman" w:hAnsi="Times New Roman"/>
                <w:color w:val="000000"/>
                <w:sz w:val="20"/>
                <w:szCs w:val="20"/>
              </w:rPr>
              <w:t>0.8626672</w:t>
            </w:r>
          </w:p>
        </w:tc>
      </w:tr>
      <w:tr w14:paraId="3FE8B591">
        <w:tc>
          <w:tcPr>
            <w:tcW w:w="746" w:type="pct"/>
            <w:tcBorders>
              <w:top w:val="nil"/>
              <w:left w:val="nil"/>
              <w:bottom w:val="nil"/>
              <w:right w:val="nil"/>
            </w:tcBorders>
          </w:tcPr>
          <w:p w14:paraId="107B93FC">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6FE8E630">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(0.8990895)</w:t>
            </w:r>
          </w:p>
        </w:tc>
        <w:tc>
          <w:tcPr>
            <w:tcW w:w="730" w:type="pct"/>
            <w:tcBorders>
              <w:top w:val="nil"/>
              <w:left w:val="nil"/>
              <w:bottom w:val="nil"/>
              <w:right w:val="nil"/>
            </w:tcBorders>
          </w:tcPr>
          <w:p w14:paraId="54D3AFC1">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(0.2235342)</w:t>
            </w:r>
          </w:p>
        </w:tc>
        <w:tc>
          <w:tcPr>
            <w:tcW w:w="878" w:type="pct"/>
            <w:tcBorders>
              <w:top w:val="nil"/>
              <w:left w:val="nil"/>
              <w:bottom w:val="nil"/>
              <w:right w:val="nil"/>
            </w:tcBorders>
          </w:tcPr>
          <w:p w14:paraId="580A63BE">
            <w:pPr>
              <w:pStyle w:val="69"/>
              <w:spacing w:line="360" w:lineRule="auto"/>
              <w:rPr>
                <w:rFonts w:ascii="Times New Roman" w:hAnsi="Times New Roman"/>
                <w:color w:val="000000"/>
                <w:sz w:val="20"/>
                <w:szCs w:val="20"/>
              </w:rPr>
            </w:pPr>
            <w:r>
              <w:rPr>
                <w:rFonts w:ascii="Times New Roman" w:hAnsi="Times New Roman"/>
                <w:color w:val="000000"/>
                <w:sz w:val="20"/>
                <w:szCs w:val="20"/>
              </w:rPr>
              <w:t>(1.212675)</w:t>
            </w:r>
          </w:p>
        </w:tc>
        <w:tc>
          <w:tcPr>
            <w:tcW w:w="908" w:type="pct"/>
            <w:tcBorders>
              <w:top w:val="nil"/>
              <w:left w:val="nil"/>
              <w:bottom w:val="nil"/>
              <w:right w:val="nil"/>
            </w:tcBorders>
          </w:tcPr>
          <w:p w14:paraId="21A147B1">
            <w:pPr>
              <w:pStyle w:val="69"/>
              <w:spacing w:line="360" w:lineRule="auto"/>
              <w:rPr>
                <w:rFonts w:ascii="Times New Roman" w:hAnsi="Times New Roman"/>
                <w:color w:val="000000"/>
                <w:sz w:val="20"/>
                <w:szCs w:val="20"/>
              </w:rPr>
            </w:pPr>
            <w:r>
              <w:rPr>
                <w:rFonts w:ascii="Times New Roman" w:hAnsi="Times New Roman"/>
                <w:color w:val="000000"/>
                <w:sz w:val="20"/>
                <w:szCs w:val="20"/>
              </w:rPr>
              <w:t>(0.5021983)</w:t>
            </w:r>
          </w:p>
        </w:tc>
        <w:tc>
          <w:tcPr>
            <w:tcW w:w="907" w:type="pct"/>
            <w:tcBorders>
              <w:top w:val="nil"/>
              <w:left w:val="nil"/>
              <w:bottom w:val="nil"/>
            </w:tcBorders>
          </w:tcPr>
          <w:p w14:paraId="434818B5">
            <w:pPr>
              <w:pStyle w:val="69"/>
              <w:spacing w:line="360" w:lineRule="auto"/>
              <w:rPr>
                <w:rFonts w:ascii="Times New Roman" w:hAnsi="Times New Roman"/>
                <w:color w:val="000000"/>
                <w:sz w:val="20"/>
                <w:szCs w:val="20"/>
              </w:rPr>
            </w:pPr>
            <w:r>
              <w:rPr>
                <w:rFonts w:ascii="Times New Roman" w:hAnsi="Times New Roman"/>
                <w:color w:val="000000"/>
                <w:sz w:val="20"/>
                <w:szCs w:val="20"/>
              </w:rPr>
              <w:t>(1.118073)</w:t>
            </w:r>
          </w:p>
        </w:tc>
      </w:tr>
      <w:tr w14:paraId="151373CD">
        <w:tc>
          <w:tcPr>
            <w:tcW w:w="746" w:type="pct"/>
            <w:tcBorders>
              <w:top w:val="nil"/>
              <w:left w:val="nil"/>
              <w:bottom w:val="nil"/>
              <w:right w:val="nil"/>
            </w:tcBorders>
          </w:tcPr>
          <w:p w14:paraId="5D8A3F09">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831" w:type="pct"/>
            <w:tcBorders>
              <w:top w:val="nil"/>
              <w:left w:val="nil"/>
              <w:bottom w:val="nil"/>
              <w:right w:val="nil"/>
            </w:tcBorders>
          </w:tcPr>
          <w:p w14:paraId="1BA1216D">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3.998446</w:t>
            </w:r>
          </w:p>
        </w:tc>
        <w:tc>
          <w:tcPr>
            <w:tcW w:w="730" w:type="pct"/>
            <w:tcBorders>
              <w:top w:val="nil"/>
              <w:left w:val="nil"/>
              <w:bottom w:val="nil"/>
              <w:right w:val="nil"/>
            </w:tcBorders>
          </w:tcPr>
          <w:p w14:paraId="0F8C0E5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2.290064</w:t>
            </w:r>
          </w:p>
        </w:tc>
        <w:tc>
          <w:tcPr>
            <w:tcW w:w="878" w:type="pct"/>
            <w:tcBorders>
              <w:top w:val="nil"/>
              <w:left w:val="nil"/>
              <w:bottom w:val="nil"/>
              <w:right w:val="nil"/>
            </w:tcBorders>
          </w:tcPr>
          <w:p w14:paraId="0B0E0A5A">
            <w:pPr>
              <w:pStyle w:val="69"/>
              <w:spacing w:line="360" w:lineRule="auto"/>
              <w:rPr>
                <w:rFonts w:ascii="Times New Roman" w:hAnsi="Times New Roman"/>
                <w:color w:val="000000"/>
                <w:sz w:val="20"/>
                <w:szCs w:val="20"/>
              </w:rPr>
            </w:pPr>
            <w:r>
              <w:rPr>
                <w:rFonts w:ascii="Times New Roman" w:hAnsi="Times New Roman"/>
                <w:color w:val="000000"/>
                <w:sz w:val="20"/>
                <w:szCs w:val="20"/>
              </w:rPr>
              <w:t>-5.007573</w:t>
            </w:r>
          </w:p>
        </w:tc>
        <w:tc>
          <w:tcPr>
            <w:tcW w:w="908" w:type="pct"/>
            <w:tcBorders>
              <w:top w:val="nil"/>
              <w:left w:val="nil"/>
              <w:bottom w:val="nil"/>
              <w:right w:val="nil"/>
            </w:tcBorders>
          </w:tcPr>
          <w:p w14:paraId="34AFD8C4">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0.5738219  </w:t>
            </w:r>
          </w:p>
        </w:tc>
        <w:tc>
          <w:tcPr>
            <w:tcW w:w="907" w:type="pct"/>
            <w:tcBorders>
              <w:top w:val="nil"/>
              <w:left w:val="nil"/>
              <w:bottom w:val="nil"/>
            </w:tcBorders>
          </w:tcPr>
          <w:p w14:paraId="591BA846">
            <w:pPr>
              <w:pStyle w:val="69"/>
              <w:spacing w:line="360" w:lineRule="auto"/>
              <w:rPr>
                <w:rFonts w:ascii="Times New Roman" w:hAnsi="Times New Roman"/>
                <w:color w:val="000000"/>
                <w:sz w:val="20"/>
                <w:szCs w:val="20"/>
              </w:rPr>
            </w:pPr>
            <w:r>
              <w:rPr>
                <w:rFonts w:ascii="Times New Roman" w:hAnsi="Times New Roman"/>
                <w:color w:val="000000"/>
                <w:sz w:val="20"/>
                <w:szCs w:val="20"/>
              </w:rPr>
              <w:t>0.8879836</w:t>
            </w:r>
          </w:p>
        </w:tc>
      </w:tr>
      <w:tr w14:paraId="15345E00">
        <w:trPr>
          <w:trHeight w:val="411" w:hRule="atLeast"/>
        </w:trPr>
        <w:tc>
          <w:tcPr>
            <w:tcW w:w="746" w:type="pct"/>
            <w:tcBorders>
              <w:top w:val="nil"/>
              <w:left w:val="nil"/>
              <w:bottom w:val="single" w:color="auto" w:sz="4" w:space="0"/>
              <w:right w:val="nil"/>
            </w:tcBorders>
          </w:tcPr>
          <w:p w14:paraId="264E484E">
            <w:pPr>
              <w:pStyle w:val="69"/>
              <w:spacing w:line="360" w:lineRule="auto"/>
              <w:rPr>
                <w:rFonts w:ascii="Times New Roman" w:hAnsi="Times New Roman"/>
                <w:color w:val="000000"/>
                <w:sz w:val="20"/>
                <w:szCs w:val="20"/>
              </w:rPr>
            </w:pPr>
          </w:p>
        </w:tc>
        <w:tc>
          <w:tcPr>
            <w:tcW w:w="831" w:type="pct"/>
            <w:tcBorders>
              <w:top w:val="nil"/>
              <w:left w:val="nil"/>
              <w:bottom w:val="single" w:color="auto" w:sz="4" w:space="0"/>
              <w:right w:val="nil"/>
            </w:tcBorders>
          </w:tcPr>
          <w:p w14:paraId="2438A118">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(3.951172)</w:t>
            </w:r>
          </w:p>
        </w:tc>
        <w:tc>
          <w:tcPr>
            <w:tcW w:w="730" w:type="pct"/>
            <w:tcBorders>
              <w:top w:val="nil"/>
              <w:left w:val="nil"/>
              <w:bottom w:val="single" w:color="auto" w:sz="4" w:space="0"/>
              <w:right w:val="nil"/>
            </w:tcBorders>
          </w:tcPr>
          <w:p w14:paraId="2B88D78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(1.551267)</w:t>
            </w:r>
          </w:p>
        </w:tc>
        <w:tc>
          <w:tcPr>
            <w:tcW w:w="878" w:type="pct"/>
            <w:tcBorders>
              <w:top w:val="nil"/>
              <w:left w:val="nil"/>
              <w:bottom w:val="single" w:color="auto" w:sz="4" w:space="0"/>
              <w:right w:val="nil"/>
            </w:tcBorders>
          </w:tcPr>
          <w:p w14:paraId="3BC05C23">
            <w:pPr>
              <w:pStyle w:val="69"/>
              <w:spacing w:line="360" w:lineRule="auto"/>
              <w:rPr>
                <w:rFonts w:ascii="Times New Roman" w:hAnsi="Times New Roman"/>
                <w:color w:val="000000"/>
                <w:sz w:val="20"/>
                <w:szCs w:val="20"/>
              </w:rPr>
            </w:pPr>
            <w:r>
              <w:rPr>
                <w:rFonts w:ascii="Times New Roman" w:hAnsi="Times New Roman"/>
                <w:color w:val="000000"/>
                <w:sz w:val="20"/>
                <w:szCs w:val="20"/>
              </w:rPr>
              <w:t>(9.290033)</w:t>
            </w:r>
          </w:p>
        </w:tc>
        <w:tc>
          <w:tcPr>
            <w:tcW w:w="908" w:type="pct"/>
            <w:tcBorders>
              <w:top w:val="nil"/>
              <w:left w:val="nil"/>
              <w:bottom w:val="single" w:color="auto" w:sz="4" w:space="0"/>
              <w:right w:val="nil"/>
            </w:tcBorders>
          </w:tcPr>
          <w:p w14:paraId="5D9B703F">
            <w:pPr>
              <w:pStyle w:val="69"/>
              <w:spacing w:line="360" w:lineRule="auto"/>
              <w:rPr>
                <w:rFonts w:ascii="Times New Roman" w:hAnsi="Times New Roman"/>
                <w:color w:val="000000"/>
                <w:sz w:val="20"/>
                <w:szCs w:val="20"/>
              </w:rPr>
            </w:pPr>
            <w:r>
              <w:rPr>
                <w:rFonts w:ascii="Times New Roman" w:hAnsi="Times New Roman"/>
                <w:color w:val="000000"/>
                <w:sz w:val="20"/>
                <w:szCs w:val="20"/>
              </w:rPr>
              <w:t>(2.475691)</w:t>
            </w:r>
          </w:p>
        </w:tc>
        <w:tc>
          <w:tcPr>
            <w:tcW w:w="907" w:type="pct"/>
            <w:tcBorders>
              <w:top w:val="nil"/>
              <w:left w:val="nil"/>
              <w:bottom w:val="single" w:color="auto" w:sz="4" w:space="0"/>
            </w:tcBorders>
          </w:tcPr>
          <w:p w14:paraId="2F2E104E">
            <w:pPr>
              <w:pStyle w:val="69"/>
              <w:spacing w:line="360" w:lineRule="auto"/>
              <w:rPr>
                <w:rFonts w:ascii="Times New Roman" w:hAnsi="Times New Roman"/>
                <w:color w:val="000000"/>
                <w:sz w:val="20"/>
                <w:szCs w:val="20"/>
              </w:rPr>
            </w:pPr>
            <w:r>
              <w:rPr>
                <w:rFonts w:ascii="Times New Roman" w:hAnsi="Times New Roman"/>
                <w:color w:val="000000"/>
                <w:sz w:val="20"/>
                <w:szCs w:val="20"/>
              </w:rPr>
              <w:t>(3.435594)</w:t>
            </w:r>
          </w:p>
        </w:tc>
      </w:tr>
      <w:tr w14:paraId="7EAEE92C">
        <w:trPr>
          <w:trHeight w:val="411" w:hRule="atLeast"/>
        </w:trPr>
        <w:tc>
          <w:tcPr>
            <w:tcW w:w="746" w:type="pct"/>
            <w:tcBorders>
              <w:top w:val="single" w:color="auto" w:sz="4" w:space="0"/>
              <w:left w:val="nil"/>
              <w:bottom w:val="nil"/>
              <w:right w:val="nil"/>
            </w:tcBorders>
          </w:tcPr>
          <w:p w14:paraId="1506DB6D">
            <w:pPr>
              <w:pStyle w:val="69"/>
              <w:autoSpaceDE w:val="0"/>
              <w:spacing w:line="360" w:lineRule="auto"/>
              <w:rPr>
                <w:rFonts w:ascii="Times New Roman" w:hAnsi="Times New Roman"/>
                <w:color w:val="000000"/>
                <w:sz w:val="20"/>
                <w:szCs w:val="20"/>
              </w:rPr>
            </w:pPr>
            <m:oMathPara>
              <m:oMathParaPr>
                <m:jc m:val="left"/>
              </m:oMathParaPr>
              <m:oMath>
                <m:sSup>
                  <w:bookmarkStart w:id="109" w:name="OLE_LINK129"/>
                  <m:sSupPr>
                    <m:ctrlPr>
                      <w:rPr>
                        <w:rFonts w:ascii="Cambria Math" w:hAnsi="Cambria Math"/>
                        <w:i/>
                        <w:color w:val="000000"/>
                        <w:sz w:val="20"/>
                        <w:szCs w:val="20"/>
                      </w:rPr>
                    </m:ctrlPr>
                  </m:sSupPr>
                  <m:e>
                    <m:r>
                      <m:rPr/>
                      <w:rPr>
                        <w:rFonts w:ascii="Cambria Math" w:hAnsi="Cambria Math"/>
                        <w:color w:val="000000"/>
                        <w:sz w:val="20"/>
                        <w:szCs w:val="20"/>
                      </w:rPr>
                      <m:t>R</m:t>
                    </m:r>
                    <m:ctrlPr>
                      <w:rPr>
                        <w:rFonts w:ascii="Cambria Math" w:hAnsi="Cambria Math"/>
                        <w:i/>
                        <w:color w:val="000000"/>
                        <w:sz w:val="20"/>
                        <w:szCs w:val="20"/>
                      </w:rPr>
                    </m:ctrlPr>
                  </m:e>
                  <m:sup>
                    <m:r>
                      <m:rPr/>
                      <w:rPr>
                        <w:rFonts w:ascii="Cambria Math" w:hAnsi="Cambria Math"/>
                        <w:color w:val="000000"/>
                        <w:sz w:val="20"/>
                        <w:szCs w:val="20"/>
                      </w:rPr>
                      <m:t>2</m:t>
                    </m:r>
                    <w:bookmarkEnd w:id="109"/>
                    <m:ctrlPr>
                      <w:rPr>
                        <w:rFonts w:ascii="Cambria Math" w:hAnsi="Cambria Math"/>
                        <w:i/>
                        <w:color w:val="000000"/>
                        <w:sz w:val="20"/>
                        <w:szCs w:val="20"/>
                      </w:rPr>
                    </m:ctrlPr>
                  </m:sup>
                </m:sSup>
              </m:oMath>
            </m:oMathPara>
          </w:p>
        </w:tc>
        <w:tc>
          <w:tcPr>
            <w:tcW w:w="831" w:type="pct"/>
            <w:tcBorders>
              <w:top w:val="single" w:color="auto" w:sz="4" w:space="0"/>
              <w:left w:val="nil"/>
              <w:bottom w:val="nil"/>
              <w:right w:val="nil"/>
            </w:tcBorders>
          </w:tcPr>
          <w:p w14:paraId="431CABA1">
            <w:pPr>
              <w:pStyle w:val="69"/>
              <w:spacing w:line="360" w:lineRule="auto"/>
              <w:rPr>
                <w:rFonts w:ascii="Times New Roman" w:hAnsi="Times New Roman"/>
                <w:color w:val="000000"/>
                <w:sz w:val="20"/>
                <w:szCs w:val="20"/>
              </w:rPr>
            </w:pPr>
            <w:r>
              <w:rPr>
                <w:rFonts w:ascii="Times New Roman" w:hAnsi="Times New Roman"/>
                <w:color w:val="000000"/>
                <w:sz w:val="20"/>
                <w:szCs w:val="20"/>
              </w:rPr>
              <w:t>0.4922</w:t>
            </w:r>
          </w:p>
        </w:tc>
        <w:tc>
          <w:tcPr>
            <w:tcW w:w="730" w:type="pct"/>
            <w:tcBorders>
              <w:top w:val="single" w:color="auto" w:sz="4" w:space="0"/>
              <w:left w:val="nil"/>
              <w:bottom w:val="nil"/>
              <w:right w:val="nil"/>
            </w:tcBorders>
          </w:tcPr>
          <w:p w14:paraId="3DF120D2">
            <w:pPr>
              <w:pStyle w:val="69"/>
              <w:spacing w:line="360" w:lineRule="auto"/>
              <w:rPr>
                <w:rFonts w:ascii="Times New Roman" w:hAnsi="Times New Roman"/>
                <w:color w:val="000000"/>
                <w:sz w:val="20"/>
                <w:szCs w:val="20"/>
              </w:rPr>
            </w:pPr>
            <w:r>
              <w:rPr>
                <w:rFonts w:ascii="Times New Roman" w:hAnsi="Times New Roman"/>
                <w:color w:val="000000"/>
                <w:sz w:val="20"/>
                <w:szCs w:val="20"/>
              </w:rPr>
              <w:t>0.3185</w:t>
            </w:r>
          </w:p>
        </w:tc>
        <w:tc>
          <w:tcPr>
            <w:tcW w:w="878" w:type="pct"/>
            <w:tcBorders>
              <w:top w:val="single" w:color="auto" w:sz="4" w:space="0"/>
              <w:left w:val="nil"/>
              <w:bottom w:val="nil"/>
              <w:right w:val="nil"/>
            </w:tcBorders>
          </w:tcPr>
          <w:p w14:paraId="6684F041">
            <w:pPr>
              <w:pStyle w:val="69"/>
              <w:spacing w:line="360" w:lineRule="auto"/>
              <w:rPr>
                <w:rFonts w:ascii="Times New Roman" w:hAnsi="Times New Roman"/>
                <w:color w:val="000000"/>
                <w:sz w:val="20"/>
                <w:szCs w:val="20"/>
              </w:rPr>
            </w:pPr>
            <w:r>
              <w:rPr>
                <w:rFonts w:ascii="Times New Roman" w:hAnsi="Times New Roman"/>
                <w:color w:val="000000"/>
                <w:sz w:val="20"/>
                <w:szCs w:val="20"/>
              </w:rPr>
              <w:t>0.6264</w:t>
            </w:r>
          </w:p>
        </w:tc>
        <w:tc>
          <w:tcPr>
            <w:tcW w:w="908" w:type="pct"/>
            <w:tcBorders>
              <w:top w:val="single" w:color="auto" w:sz="4" w:space="0"/>
              <w:left w:val="nil"/>
              <w:bottom w:val="nil"/>
              <w:right w:val="nil"/>
            </w:tcBorders>
          </w:tcPr>
          <w:p w14:paraId="1501D0E5">
            <w:pPr>
              <w:pStyle w:val="69"/>
              <w:spacing w:line="360" w:lineRule="auto"/>
              <w:rPr>
                <w:rFonts w:ascii="Times New Roman" w:hAnsi="Times New Roman"/>
                <w:color w:val="000000"/>
                <w:sz w:val="20"/>
                <w:szCs w:val="20"/>
              </w:rPr>
            </w:pPr>
            <w:r>
              <w:rPr>
                <w:rFonts w:ascii="Times New Roman" w:hAnsi="Times New Roman"/>
                <w:color w:val="000000"/>
                <w:sz w:val="20"/>
                <w:szCs w:val="20"/>
              </w:rPr>
              <w:t>0.1880</w:t>
            </w:r>
          </w:p>
        </w:tc>
        <w:tc>
          <w:tcPr>
            <w:tcW w:w="907" w:type="pct"/>
            <w:tcBorders>
              <w:top w:val="single" w:color="auto" w:sz="4" w:space="0"/>
              <w:left w:val="nil"/>
              <w:bottom w:val="nil"/>
            </w:tcBorders>
          </w:tcPr>
          <w:p w14:paraId="01B7AE86">
            <w:pPr>
              <w:pStyle w:val="69"/>
              <w:spacing w:line="360" w:lineRule="auto"/>
              <w:rPr>
                <w:rFonts w:ascii="Times New Roman" w:hAnsi="Times New Roman"/>
                <w:color w:val="000000"/>
                <w:sz w:val="20"/>
                <w:szCs w:val="20"/>
              </w:rPr>
            </w:pPr>
            <w:r>
              <w:rPr>
                <w:rFonts w:ascii="Times New Roman" w:hAnsi="Times New Roman"/>
                <w:color w:val="000000"/>
                <w:sz w:val="20"/>
                <w:szCs w:val="20"/>
              </w:rPr>
              <w:t>0.2397</w:t>
            </w:r>
          </w:p>
        </w:tc>
      </w:tr>
      <w:tr w14:paraId="2BD03597">
        <w:trPr>
          <w:trHeight w:val="411" w:hRule="atLeast"/>
        </w:trPr>
        <w:tc>
          <w:tcPr>
            <w:tcW w:w="746" w:type="pct"/>
            <w:tcBorders>
              <w:top w:val="single" w:color="auto" w:sz="4" w:space="0"/>
              <w:left w:val="nil"/>
              <w:bottom w:val="nil"/>
              <w:right w:val="nil"/>
            </w:tcBorders>
          </w:tcPr>
          <w:p w14:paraId="17343A6B">
            <w:pPr>
              <w:pStyle w:val="69"/>
              <w:autoSpaceDE w:val="0"/>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831" w:type="pct"/>
            <w:tcBorders>
              <w:top w:val="single" w:color="auto" w:sz="4" w:space="0"/>
              <w:left w:val="nil"/>
              <w:bottom w:val="nil"/>
              <w:right w:val="nil"/>
            </w:tcBorders>
          </w:tcPr>
          <w:p w14:paraId="49B1E7D2">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730" w:type="pct"/>
            <w:tcBorders>
              <w:top w:val="single" w:color="auto" w:sz="4" w:space="0"/>
              <w:left w:val="nil"/>
              <w:bottom w:val="nil"/>
              <w:right w:val="nil"/>
            </w:tcBorders>
          </w:tcPr>
          <w:p w14:paraId="49175208">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78" w:type="pct"/>
            <w:tcBorders>
              <w:top w:val="single" w:color="auto" w:sz="4" w:space="0"/>
              <w:left w:val="nil"/>
              <w:bottom w:val="nil"/>
              <w:right w:val="nil"/>
            </w:tcBorders>
          </w:tcPr>
          <w:p w14:paraId="1EB2E895">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08" w:type="pct"/>
            <w:tcBorders>
              <w:top w:val="single" w:color="auto" w:sz="4" w:space="0"/>
              <w:left w:val="nil"/>
              <w:bottom w:val="nil"/>
              <w:right w:val="nil"/>
            </w:tcBorders>
          </w:tcPr>
          <w:p w14:paraId="50915047">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07" w:type="pct"/>
            <w:tcBorders>
              <w:top w:val="single" w:color="auto" w:sz="4" w:space="0"/>
              <w:left w:val="nil"/>
              <w:bottom w:val="nil"/>
            </w:tcBorders>
          </w:tcPr>
          <w:p w14:paraId="71C19DD0">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31F96BA4">
        <w:trPr>
          <w:trHeight w:val="411" w:hRule="atLeast"/>
        </w:trPr>
        <w:tc>
          <w:tcPr>
            <w:tcW w:w="746" w:type="pct"/>
            <w:tcBorders>
              <w:top w:val="nil"/>
              <w:left w:val="nil"/>
              <w:bottom w:val="single" w:color="000000" w:sz="4" w:space="0"/>
              <w:right w:val="nil"/>
            </w:tcBorders>
          </w:tcPr>
          <w:p w14:paraId="6DA4B373">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831" w:type="pct"/>
            <w:tcBorders>
              <w:top w:val="nil"/>
              <w:left w:val="nil"/>
              <w:bottom w:val="single" w:color="000000" w:sz="4" w:space="0"/>
              <w:right w:val="nil"/>
            </w:tcBorders>
          </w:tcPr>
          <w:p w14:paraId="62853B8F">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730" w:type="pct"/>
            <w:tcBorders>
              <w:top w:val="nil"/>
              <w:left w:val="nil"/>
              <w:bottom w:val="single" w:color="000000" w:sz="4" w:space="0"/>
              <w:right w:val="nil"/>
            </w:tcBorders>
          </w:tcPr>
          <w:p w14:paraId="2C4AD5A9">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78" w:type="pct"/>
            <w:tcBorders>
              <w:top w:val="nil"/>
              <w:left w:val="nil"/>
              <w:bottom w:val="single" w:color="000000" w:sz="4" w:space="0"/>
              <w:right w:val="nil"/>
            </w:tcBorders>
          </w:tcPr>
          <w:p w14:paraId="4DF37FC6">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08" w:type="pct"/>
            <w:tcBorders>
              <w:top w:val="nil"/>
              <w:left w:val="nil"/>
              <w:bottom w:val="single" w:color="000000" w:sz="4" w:space="0"/>
              <w:right w:val="nil"/>
            </w:tcBorders>
          </w:tcPr>
          <w:p w14:paraId="11799E6F">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07" w:type="pct"/>
            <w:tcBorders>
              <w:top w:val="nil"/>
              <w:left w:val="nil"/>
              <w:bottom w:val="single" w:color="000000" w:sz="4" w:space="0"/>
            </w:tcBorders>
          </w:tcPr>
          <w:p w14:paraId="01BFB117">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bookmarkEnd w:id="106"/>
    </w:tbl>
    <w:p w14:paraId="3E60906F">
      <w:pPr>
        <w:spacing w:after="468" w:afterLines="150"/>
        <w:rPr>
          <w:rFonts w:cs="Times New Roman" w:eastAsiaTheme="minorEastAsia"/>
        </w:rPr>
      </w:pPr>
      <w:r>
        <w:rPr>
          <w:rFonts w:hint="eastAsia" w:cs="Times New Roman"/>
          <w:color w:val="000000"/>
        </w:rPr>
        <w:t xml:space="preserve">Table </w:t>
      </w:r>
      <w:r>
        <w:rPr>
          <w:rFonts w:hint="eastAsia" w:eastAsia="宋体" w:cs="Times New Roman"/>
          <w:color w:val="000000"/>
          <w:lang w:val="en-US" w:eastAsia="zh-CN"/>
        </w:rPr>
        <w:t>5</w:t>
      </w:r>
      <w:r>
        <w:rPr>
          <w:rFonts w:hint="eastAsia" w:cs="Times New Roman"/>
          <w:color w:val="000000"/>
        </w:rPr>
        <w:t xml:space="preserve"> reports the estimation results of typhoon intensity (TEI_agri) on the five macro indicators in the fixed effect regression. In general, there are differences in the direction and significance of the coefficients, indicating that the typhoon impact has multiple dimensions and heterogeneity. Specifically, TEI_agri has a significantly positive impact on GDP growth (0.0094***), which may reflect the short-term "reconstruction effect" brought by post-disaster reconstruction. It also has a significantly positive impact on inflation (0.0354**), which is consistent with the expectation that typhoon disrupts transportation and supply chain and pushes up cost pressure. The response of agricultural output to TEI_agri is also significantly positive (0.0206***), which can be understood as a periodic rebound under the input of post-disaster recovery and policy support, and this rebound may be related to changes in capital formation (further test in the mechanism section below). In contrast, although the coefficients of the unemployment rate and FDI are positive/negative, they are not significant, suggesting that their short-and medium-term responses lack stable consistency and are more likely to be dominated by structural factors. The R-squared of each regression is between 0.19 and 0.63, which is within the acceptable range under the annual cross-country panel setting that includes country and year fixed effects and macro variables are affected by multiple unobserved shocks. The overall conclusion is that typhoon intensity has a significant impact on GDP growth, agricultural output and inflation, but no significant impact on unemployment and FDI, which means that the impact is mainly reflected in the output and price dimensions, and the immediate effect of labor market and cross-border capital flow is relatively limited</w:t>
      </w:r>
      <w:r>
        <w:rPr>
          <w:rFonts w:cs="Times New Roman" w:eastAsiaTheme="minorEastAsia"/>
        </w:rPr>
        <w:t>.</w:t>
      </w:r>
    </w:p>
    <w:p w14:paraId="1991C68C">
      <w:pPr>
        <w:pStyle w:val="4"/>
        <w:numPr>
          <w:ilvl w:val="2"/>
          <w:numId w:val="0"/>
        </w:numPr>
        <w:ind w:leftChars="0"/>
      </w:pPr>
      <w:bookmarkStart w:id="110" w:name="_Toc216969537"/>
      <w:r>
        <w:t>Model 2 Results</w:t>
      </w:r>
      <w:bookmarkEnd w:id="110"/>
    </w:p>
    <w:p w14:paraId="087AB9A3">
      <w:pPr>
        <w:pStyle w:val="7"/>
      </w:pPr>
      <w:bookmarkStart w:id="111" w:name="_Toc216867795"/>
      <w:r>
        <w:t xml:space="preserve">Table </w:t>
      </w:r>
      <w:r>
        <w:rPr>
          <w:rFonts w:hint="eastAsia" w:eastAsia="宋体"/>
          <w:lang w:val="en-US" w:eastAsia="zh-CN"/>
        </w:rPr>
        <w:t>6</w:t>
      </w:r>
      <w:r>
        <w:t xml:space="preserve">  Baseline Estimation Results (Model 2)</w:t>
      </w:r>
      <w:bookmarkEnd w:id="111"/>
    </w:p>
    <w:tbl>
      <w:tblPr>
        <w:tblStyle w:val="2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45"/>
        <w:gridCol w:w="4191"/>
      </w:tblGrid>
      <w:tr w14:paraId="3725F890">
        <w:trPr>
          <w:jc w:val="center"/>
        </w:trPr>
        <w:tc>
          <w:tcPr>
            <w:tcW w:w="2516" w:type="pct"/>
            <w:tcBorders>
              <w:top w:val="single" w:color="auto" w:sz="4" w:space="0"/>
              <w:left w:val="nil"/>
              <w:bottom w:val="nil"/>
              <w:right w:val="nil"/>
            </w:tcBorders>
          </w:tcPr>
          <w:p w14:paraId="67304E58">
            <w:pPr>
              <w:pStyle w:val="69"/>
              <w:spacing w:line="360" w:lineRule="auto"/>
              <w:rPr>
                <w:rFonts w:ascii="Times New Roman" w:hAnsi="Times New Roman"/>
                <w:color w:val="000000"/>
                <w:sz w:val="20"/>
                <w:szCs w:val="20"/>
              </w:rPr>
            </w:pPr>
            <w:bookmarkStart w:id="112" w:name="OLE_LINK62"/>
            <w:r>
              <w:rPr>
                <w:rFonts w:ascii="Times New Roman" w:hAnsi="Times New Roman"/>
                <w:color w:val="000000"/>
                <w:sz w:val="20"/>
                <w:szCs w:val="20"/>
              </w:rPr>
              <w:t>Dependent variable</w:t>
            </w:r>
          </w:p>
        </w:tc>
        <w:tc>
          <w:tcPr>
            <w:tcW w:w="2484" w:type="pct"/>
            <w:tcBorders>
              <w:top w:val="single" w:color="auto" w:sz="4" w:space="0"/>
              <w:left w:val="nil"/>
              <w:bottom w:val="single" w:color="auto" w:sz="4" w:space="0"/>
              <w:right w:val="nil"/>
            </w:tcBorders>
            <w:vAlign w:val="center"/>
          </w:tcPr>
          <w:p w14:paraId="433A85A6">
            <w:pPr>
              <w:pStyle w:val="69"/>
              <w:spacing w:line="360" w:lineRule="auto"/>
              <w:rPr>
                <w:rFonts w:ascii="Times New Roman" w:hAnsi="Times New Roman"/>
                <w:color w:val="000000"/>
                <w:sz w:val="20"/>
                <w:szCs w:val="20"/>
              </w:rPr>
            </w:pPr>
            <w:r>
              <w:rPr>
                <w:rFonts w:ascii="Times New Roman" w:hAnsi="Times New Roman"/>
                <w:color w:val="000000"/>
                <w:sz w:val="20"/>
                <w:szCs w:val="20"/>
              </w:rPr>
              <w:t>(1) GCF</w:t>
            </w:r>
          </w:p>
        </w:tc>
      </w:tr>
      <w:tr w14:paraId="5C31A909">
        <w:trPr>
          <w:jc w:val="center"/>
        </w:trPr>
        <w:tc>
          <w:tcPr>
            <w:tcW w:w="2516" w:type="pct"/>
            <w:tcBorders>
              <w:top w:val="nil"/>
              <w:left w:val="nil"/>
              <w:bottom w:val="nil"/>
              <w:right w:val="nil"/>
            </w:tcBorders>
          </w:tcPr>
          <w:p w14:paraId="46BD7C30">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2484" w:type="pct"/>
            <w:tcBorders>
              <w:top w:val="single" w:color="auto" w:sz="4" w:space="0"/>
              <w:left w:val="nil"/>
              <w:bottom w:val="single" w:color="auto" w:sz="4" w:space="0"/>
              <w:right w:val="nil"/>
            </w:tcBorders>
            <w:vAlign w:val="center"/>
          </w:tcPr>
          <w:p w14:paraId="6E52090A">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01B7088F">
        <w:trPr>
          <w:jc w:val="center"/>
        </w:trPr>
        <w:tc>
          <w:tcPr>
            <w:tcW w:w="2516" w:type="pct"/>
            <w:tcBorders>
              <w:top w:val="single" w:color="auto" w:sz="4" w:space="0"/>
              <w:left w:val="nil"/>
              <w:bottom w:val="nil"/>
              <w:right w:val="nil"/>
            </w:tcBorders>
          </w:tcPr>
          <w:p w14:paraId="782EA764">
            <w:pPr>
              <w:pStyle w:val="69"/>
              <w:spacing w:line="360" w:lineRule="auto"/>
              <w:rPr>
                <w:rFonts w:ascii="Times New Roman" w:hAnsi="Times New Roman"/>
                <w:color w:val="000000"/>
                <w:sz w:val="20"/>
                <w:szCs w:val="20"/>
              </w:rPr>
            </w:pPr>
            <w:r>
              <w:rPr>
                <w:rFonts w:ascii="Times New Roman" w:hAnsi="Times New Roman"/>
                <w:color w:val="000000"/>
                <w:sz w:val="20"/>
                <w:szCs w:val="20"/>
              </w:rPr>
              <w:t>TEI_agri</w:t>
            </w:r>
          </w:p>
        </w:tc>
        <w:tc>
          <w:tcPr>
            <w:tcW w:w="2484" w:type="pct"/>
            <w:tcBorders>
              <w:top w:val="single" w:color="auto" w:sz="4" w:space="0"/>
              <w:left w:val="nil"/>
              <w:bottom w:val="nil"/>
              <w:right w:val="nil"/>
            </w:tcBorders>
          </w:tcPr>
          <w:p w14:paraId="30D8A176">
            <w:pPr>
              <w:pStyle w:val="69"/>
              <w:spacing w:line="360" w:lineRule="auto"/>
              <w:rPr>
                <w:rFonts w:ascii="Times New Roman" w:hAnsi="Times New Roman"/>
                <w:color w:val="000000"/>
                <w:sz w:val="20"/>
                <w:szCs w:val="20"/>
              </w:rPr>
            </w:pPr>
            <w:r>
              <w:rPr>
                <w:rFonts w:ascii="Times New Roman" w:hAnsi="Times New Roman"/>
                <w:color w:val="000000"/>
                <w:sz w:val="20"/>
                <w:szCs w:val="20"/>
              </w:rPr>
              <w:t>-0.0238059**</w:t>
            </w:r>
          </w:p>
        </w:tc>
      </w:tr>
      <w:tr w14:paraId="08B8BED9">
        <w:trPr>
          <w:jc w:val="center"/>
        </w:trPr>
        <w:tc>
          <w:tcPr>
            <w:tcW w:w="2516" w:type="pct"/>
            <w:tcBorders>
              <w:top w:val="nil"/>
              <w:left w:val="nil"/>
              <w:bottom w:val="nil"/>
              <w:right w:val="nil"/>
            </w:tcBorders>
          </w:tcPr>
          <w:p w14:paraId="65CFFD82">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773D60D5">
            <w:pPr>
              <w:pStyle w:val="69"/>
              <w:spacing w:line="360" w:lineRule="auto"/>
              <w:rPr>
                <w:rFonts w:ascii="Times New Roman" w:hAnsi="Times New Roman"/>
                <w:color w:val="000000"/>
                <w:sz w:val="20"/>
                <w:szCs w:val="20"/>
              </w:rPr>
            </w:pPr>
            <w:r>
              <w:rPr>
                <w:rFonts w:ascii="Times New Roman" w:hAnsi="Times New Roman"/>
                <w:color w:val="000000"/>
                <w:sz w:val="20"/>
                <w:szCs w:val="20"/>
              </w:rPr>
              <w:t>(0.0096947)</w:t>
            </w:r>
          </w:p>
        </w:tc>
      </w:tr>
      <w:tr w14:paraId="663DC4EE">
        <w:trPr>
          <w:jc w:val="center"/>
        </w:trPr>
        <w:tc>
          <w:tcPr>
            <w:tcW w:w="2516" w:type="pct"/>
            <w:tcBorders>
              <w:top w:val="nil"/>
              <w:left w:val="nil"/>
              <w:bottom w:val="nil"/>
              <w:right w:val="nil"/>
            </w:tcBorders>
          </w:tcPr>
          <w:p w14:paraId="327E3ADD">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2484" w:type="pct"/>
            <w:tcBorders>
              <w:top w:val="nil"/>
              <w:left w:val="nil"/>
              <w:bottom w:val="nil"/>
              <w:right w:val="nil"/>
            </w:tcBorders>
          </w:tcPr>
          <w:p w14:paraId="2FA4F452">
            <w:pPr>
              <w:pStyle w:val="69"/>
              <w:spacing w:line="360" w:lineRule="auto"/>
              <w:rPr>
                <w:rFonts w:ascii="Times New Roman" w:hAnsi="Times New Roman"/>
                <w:color w:val="000000"/>
                <w:sz w:val="20"/>
                <w:szCs w:val="20"/>
              </w:rPr>
            </w:pPr>
            <w:r>
              <w:rPr>
                <w:rFonts w:ascii="Times New Roman" w:hAnsi="Times New Roman"/>
                <w:color w:val="000000"/>
                <w:sz w:val="20"/>
                <w:szCs w:val="20"/>
              </w:rPr>
              <w:t>0.0198795</w:t>
            </w:r>
          </w:p>
        </w:tc>
      </w:tr>
      <w:tr w14:paraId="384FA272">
        <w:trPr>
          <w:jc w:val="center"/>
        </w:trPr>
        <w:tc>
          <w:tcPr>
            <w:tcW w:w="2516" w:type="pct"/>
            <w:tcBorders>
              <w:top w:val="nil"/>
              <w:left w:val="nil"/>
              <w:bottom w:val="nil"/>
              <w:right w:val="nil"/>
            </w:tcBorders>
          </w:tcPr>
          <w:p w14:paraId="6AB8C1D0">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4CF04338">
            <w:pPr>
              <w:pStyle w:val="69"/>
              <w:spacing w:line="360" w:lineRule="auto"/>
              <w:rPr>
                <w:rFonts w:ascii="Times New Roman" w:hAnsi="Times New Roman"/>
                <w:color w:val="000000"/>
                <w:sz w:val="20"/>
                <w:szCs w:val="20"/>
              </w:rPr>
            </w:pPr>
            <w:r>
              <w:rPr>
                <w:rFonts w:ascii="Times New Roman" w:hAnsi="Times New Roman"/>
                <w:color w:val="000000"/>
                <w:sz w:val="20"/>
                <w:szCs w:val="20"/>
              </w:rPr>
              <w:t>(0.0557236)</w:t>
            </w:r>
          </w:p>
        </w:tc>
      </w:tr>
      <w:tr w14:paraId="0DC85169">
        <w:trPr>
          <w:trHeight w:val="90" w:hRule="atLeast"/>
          <w:jc w:val="center"/>
        </w:trPr>
        <w:tc>
          <w:tcPr>
            <w:tcW w:w="2516" w:type="pct"/>
            <w:tcBorders>
              <w:top w:val="nil"/>
              <w:left w:val="nil"/>
              <w:bottom w:val="nil"/>
              <w:right w:val="nil"/>
            </w:tcBorders>
          </w:tcPr>
          <w:p w14:paraId="6217C6DB">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2484" w:type="pct"/>
            <w:tcBorders>
              <w:top w:val="nil"/>
              <w:left w:val="nil"/>
              <w:bottom w:val="nil"/>
              <w:right w:val="nil"/>
            </w:tcBorders>
          </w:tcPr>
          <w:p w14:paraId="4534986C">
            <w:pPr>
              <w:pStyle w:val="69"/>
              <w:spacing w:line="360" w:lineRule="auto"/>
              <w:rPr>
                <w:rFonts w:ascii="Times New Roman" w:hAnsi="Times New Roman"/>
                <w:color w:val="000000"/>
                <w:sz w:val="20"/>
                <w:szCs w:val="20"/>
              </w:rPr>
            </w:pPr>
            <w:r>
              <w:rPr>
                <w:rFonts w:ascii="Times New Roman" w:hAnsi="Times New Roman"/>
                <w:color w:val="000000"/>
                <w:sz w:val="20"/>
                <w:szCs w:val="20"/>
              </w:rPr>
              <w:t>2.475069***</w:t>
            </w:r>
          </w:p>
        </w:tc>
      </w:tr>
      <w:tr w14:paraId="6392A52C">
        <w:trPr>
          <w:jc w:val="center"/>
        </w:trPr>
        <w:tc>
          <w:tcPr>
            <w:tcW w:w="2516" w:type="pct"/>
            <w:tcBorders>
              <w:top w:val="nil"/>
              <w:left w:val="nil"/>
              <w:bottom w:val="nil"/>
              <w:right w:val="nil"/>
            </w:tcBorders>
          </w:tcPr>
          <w:p w14:paraId="58E7EB61">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543DD7F5">
            <w:pPr>
              <w:pStyle w:val="69"/>
              <w:spacing w:line="360" w:lineRule="auto"/>
              <w:rPr>
                <w:rFonts w:ascii="Times New Roman" w:hAnsi="Times New Roman"/>
                <w:color w:val="000000"/>
                <w:sz w:val="20"/>
                <w:szCs w:val="20"/>
              </w:rPr>
            </w:pPr>
            <w:r>
              <w:rPr>
                <w:rFonts w:ascii="Times New Roman" w:hAnsi="Times New Roman"/>
                <w:color w:val="000000"/>
                <w:sz w:val="20"/>
                <w:szCs w:val="20"/>
              </w:rPr>
              <w:t>(0.7992991)</w:t>
            </w:r>
          </w:p>
        </w:tc>
      </w:tr>
      <w:tr w14:paraId="7BCB74C5">
        <w:trPr>
          <w:jc w:val="center"/>
        </w:trPr>
        <w:tc>
          <w:tcPr>
            <w:tcW w:w="2516" w:type="pct"/>
            <w:tcBorders>
              <w:top w:val="nil"/>
              <w:left w:val="nil"/>
              <w:bottom w:val="nil"/>
              <w:right w:val="nil"/>
            </w:tcBorders>
          </w:tcPr>
          <w:p w14:paraId="0BD77AA7">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2484" w:type="pct"/>
            <w:tcBorders>
              <w:top w:val="nil"/>
              <w:left w:val="nil"/>
              <w:bottom w:val="nil"/>
              <w:right w:val="nil"/>
            </w:tcBorders>
          </w:tcPr>
          <w:p w14:paraId="64892132">
            <w:pPr>
              <w:pStyle w:val="69"/>
              <w:spacing w:line="360" w:lineRule="auto"/>
              <w:rPr>
                <w:rFonts w:ascii="Times New Roman" w:hAnsi="Times New Roman"/>
                <w:color w:val="000000"/>
                <w:sz w:val="20"/>
                <w:szCs w:val="20"/>
              </w:rPr>
            </w:pPr>
            <w:r>
              <w:rPr>
                <w:rFonts w:ascii="Times New Roman" w:hAnsi="Times New Roman"/>
                <w:color w:val="000000"/>
                <w:sz w:val="20"/>
                <w:szCs w:val="20"/>
              </w:rPr>
              <w:t>-0.1595491</w:t>
            </w:r>
          </w:p>
        </w:tc>
      </w:tr>
      <w:tr w14:paraId="2DC68298">
        <w:trPr>
          <w:trHeight w:val="411" w:hRule="atLeast"/>
          <w:jc w:val="center"/>
        </w:trPr>
        <w:tc>
          <w:tcPr>
            <w:tcW w:w="2516" w:type="pct"/>
            <w:tcBorders>
              <w:top w:val="nil"/>
              <w:left w:val="nil"/>
              <w:bottom w:val="single" w:color="auto" w:sz="4" w:space="0"/>
              <w:right w:val="nil"/>
            </w:tcBorders>
          </w:tcPr>
          <w:p w14:paraId="474BA233">
            <w:pPr>
              <w:pStyle w:val="69"/>
              <w:spacing w:line="360" w:lineRule="auto"/>
              <w:rPr>
                <w:rFonts w:ascii="Times New Roman" w:hAnsi="Times New Roman"/>
                <w:color w:val="000000"/>
                <w:sz w:val="20"/>
                <w:szCs w:val="20"/>
              </w:rPr>
            </w:pPr>
          </w:p>
        </w:tc>
        <w:tc>
          <w:tcPr>
            <w:tcW w:w="2484" w:type="pct"/>
            <w:tcBorders>
              <w:top w:val="nil"/>
              <w:left w:val="nil"/>
              <w:bottom w:val="single" w:color="auto" w:sz="4" w:space="0"/>
              <w:right w:val="nil"/>
            </w:tcBorders>
          </w:tcPr>
          <w:p w14:paraId="3B9A694D">
            <w:pPr>
              <w:pStyle w:val="69"/>
              <w:spacing w:line="360" w:lineRule="auto"/>
              <w:rPr>
                <w:rFonts w:ascii="Times New Roman" w:hAnsi="Times New Roman"/>
                <w:color w:val="000000"/>
                <w:sz w:val="20"/>
                <w:szCs w:val="20"/>
              </w:rPr>
            </w:pPr>
            <w:r>
              <w:rPr>
                <w:rFonts w:ascii="Times New Roman" w:hAnsi="Times New Roman"/>
                <w:color w:val="000000"/>
                <w:sz w:val="20"/>
                <w:szCs w:val="20"/>
              </w:rPr>
              <w:t>(7.582315)</w:t>
            </w:r>
          </w:p>
        </w:tc>
      </w:tr>
      <w:tr w14:paraId="47A266D5">
        <w:trPr>
          <w:trHeight w:val="411" w:hRule="atLeast"/>
          <w:jc w:val="center"/>
        </w:trPr>
        <w:tc>
          <w:tcPr>
            <w:tcW w:w="2516" w:type="pct"/>
            <w:tcBorders>
              <w:top w:val="single" w:color="auto" w:sz="4" w:space="0"/>
              <w:left w:val="nil"/>
              <w:bottom w:val="nil"/>
              <w:right w:val="nil"/>
            </w:tcBorders>
          </w:tcPr>
          <w:p w14:paraId="338CCFF8">
            <w:pPr>
              <w:pStyle w:val="69"/>
              <w:autoSpaceDE w:val="0"/>
              <w:spacing w:line="360" w:lineRule="auto"/>
              <w:rPr>
                <w:rFonts w:ascii="Times New Roman" w:hAnsi="Times New Roman"/>
                <w:color w:val="000000"/>
                <w:sz w:val="20"/>
                <w:szCs w:val="20"/>
              </w:rPr>
            </w:pPr>
            <m:oMathPara>
              <m:oMathParaPr>
                <m:jc m:val="left"/>
              </m:oMathParaPr>
              <m:oMath>
                <m:sSup>
                  <m:sSupPr>
                    <m:ctrlPr>
                      <w:rPr>
                        <w:rFonts w:ascii="Cambria Math" w:hAnsi="Cambria Math"/>
                        <w:i/>
                        <w:color w:val="000000"/>
                        <w:sz w:val="20"/>
                        <w:szCs w:val="20"/>
                      </w:rPr>
                    </m:ctrlPr>
                  </m:sSupPr>
                  <m:e>
                    <m:r>
                      <m:rPr/>
                      <w:rPr>
                        <w:rFonts w:ascii="Cambria Math" w:hAnsi="Cambria Math"/>
                        <w:color w:val="000000"/>
                        <w:sz w:val="20"/>
                        <w:szCs w:val="20"/>
                      </w:rPr>
                      <m:t>R</m:t>
                    </m:r>
                    <m:ctrlPr>
                      <w:rPr>
                        <w:rFonts w:ascii="Cambria Math" w:hAnsi="Cambria Math"/>
                        <w:i/>
                        <w:color w:val="000000"/>
                        <w:sz w:val="20"/>
                        <w:szCs w:val="20"/>
                      </w:rPr>
                    </m:ctrlPr>
                  </m:e>
                  <m:sup>
                    <m:r>
                      <m:rPr/>
                      <w:rPr>
                        <w:rFonts w:ascii="Cambria Math" w:hAnsi="Cambria Math"/>
                        <w:color w:val="000000"/>
                        <w:sz w:val="20"/>
                        <w:szCs w:val="20"/>
                      </w:rPr>
                      <m:t>2</m:t>
                    </m:r>
                    <m:ctrlPr>
                      <w:rPr>
                        <w:rFonts w:ascii="Cambria Math" w:hAnsi="Cambria Math"/>
                        <w:i/>
                        <w:color w:val="000000"/>
                        <w:sz w:val="20"/>
                        <w:szCs w:val="20"/>
                      </w:rPr>
                    </m:ctrlPr>
                  </m:sup>
                </m:sSup>
              </m:oMath>
            </m:oMathPara>
          </w:p>
        </w:tc>
        <w:tc>
          <w:tcPr>
            <w:tcW w:w="2484" w:type="pct"/>
            <w:tcBorders>
              <w:top w:val="single" w:color="auto" w:sz="4" w:space="0"/>
              <w:left w:val="nil"/>
              <w:bottom w:val="nil"/>
              <w:right w:val="nil"/>
            </w:tcBorders>
          </w:tcPr>
          <w:p w14:paraId="3C133343">
            <w:pPr>
              <w:pStyle w:val="69"/>
              <w:spacing w:line="360" w:lineRule="auto"/>
              <w:rPr>
                <w:rFonts w:ascii="Times New Roman" w:hAnsi="Times New Roman"/>
                <w:color w:val="000000"/>
                <w:sz w:val="20"/>
                <w:szCs w:val="20"/>
              </w:rPr>
            </w:pPr>
            <w:r>
              <w:rPr>
                <w:rFonts w:ascii="Times New Roman" w:hAnsi="Times New Roman"/>
                <w:color w:val="000000"/>
                <w:sz w:val="20"/>
                <w:szCs w:val="20"/>
              </w:rPr>
              <w:t>0.3625</w:t>
            </w:r>
          </w:p>
        </w:tc>
      </w:tr>
      <w:tr w14:paraId="5FB517BD">
        <w:trPr>
          <w:trHeight w:val="411" w:hRule="atLeast"/>
          <w:jc w:val="center"/>
        </w:trPr>
        <w:tc>
          <w:tcPr>
            <w:tcW w:w="2516" w:type="pct"/>
            <w:tcBorders>
              <w:top w:val="single" w:color="auto" w:sz="4" w:space="0"/>
              <w:left w:val="nil"/>
              <w:bottom w:val="nil"/>
              <w:right w:val="nil"/>
            </w:tcBorders>
          </w:tcPr>
          <w:p w14:paraId="3C4FDCE2">
            <w:pPr>
              <w:pStyle w:val="69"/>
              <w:autoSpaceDE w:val="0"/>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2484" w:type="pct"/>
            <w:tcBorders>
              <w:top w:val="single" w:color="auto" w:sz="4" w:space="0"/>
              <w:left w:val="nil"/>
              <w:bottom w:val="nil"/>
              <w:right w:val="nil"/>
            </w:tcBorders>
          </w:tcPr>
          <w:p w14:paraId="5ED9AC55">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15F756C8">
        <w:trPr>
          <w:trHeight w:val="411" w:hRule="atLeast"/>
          <w:jc w:val="center"/>
        </w:trPr>
        <w:tc>
          <w:tcPr>
            <w:tcW w:w="2516" w:type="pct"/>
            <w:tcBorders>
              <w:top w:val="nil"/>
              <w:left w:val="nil"/>
              <w:bottom w:val="single" w:color="000000" w:sz="4" w:space="0"/>
              <w:right w:val="nil"/>
            </w:tcBorders>
          </w:tcPr>
          <w:p w14:paraId="415C85DA">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2484" w:type="pct"/>
            <w:tcBorders>
              <w:top w:val="nil"/>
              <w:left w:val="nil"/>
              <w:bottom w:val="single" w:color="000000" w:sz="4" w:space="0"/>
              <w:right w:val="nil"/>
            </w:tcBorders>
          </w:tcPr>
          <w:p w14:paraId="1587CE05">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bookmarkEnd w:id="112"/>
    </w:tbl>
    <w:p w14:paraId="0DABC05A">
      <w:pPr>
        <w:keepNext w:val="0"/>
        <w:keepLines w:val="0"/>
        <w:pageBreakBefore w:val="0"/>
        <w:widowControl w:val="0"/>
        <w:kinsoku/>
        <w:wordWrap/>
        <w:overflowPunct/>
        <w:topLinePunct w:val="0"/>
        <w:autoSpaceDE/>
        <w:autoSpaceDN/>
        <w:bidi w:val="0"/>
        <w:adjustRightInd/>
        <w:snapToGrid/>
        <w:spacing w:after="313" w:afterLines="100"/>
        <w:textAlignment w:val="auto"/>
        <w:rPr>
          <w:rFonts w:cs="Times New Roman"/>
          <w:color w:val="000000"/>
        </w:rPr>
      </w:pPr>
      <w:bookmarkStart w:id="113" w:name="OLE_LINK126"/>
      <w:r>
        <w:rPr>
          <w:rFonts w:hint="eastAsia" w:cs="Times New Roman"/>
          <w:color w:val="000000"/>
        </w:rPr>
        <w:t xml:space="preserve">Table </w:t>
      </w:r>
      <w:r>
        <w:rPr>
          <w:rFonts w:hint="eastAsia" w:eastAsia="宋体" w:cs="Times New Roman"/>
          <w:color w:val="000000"/>
          <w:lang w:val="en-US" w:eastAsia="zh-CN"/>
        </w:rPr>
        <w:t>6</w:t>
      </w:r>
      <w:r>
        <w:rPr>
          <w:rFonts w:hint="eastAsia" w:cs="Times New Roman"/>
          <w:color w:val="000000"/>
        </w:rPr>
        <w:t xml:space="preserve"> shows that typhoon intensity (TEI_agri) has a significant inhibitory effect on total capital formation (GCF) : the coefficient is −0.0238 and significant at the 5% level, indicating that typhoon shocks will reduce capital formation. This is consistent with the mechanism of disaster economics: typhoons damage infrastructure and productive assets, raise uncertainty and thus suppress private investment, while the bias of post-disaster financial resources toward relief and reconstruction may crowd out medium - and long-term productive investment. In terms of control variables, the effect of population size (POP) on GCF is significantly positive (2.475***), reflecting that countries with larger economic scale usually have higher investment demand; TRADE openness (TRADE) and urbanization (UP) are not significant, indicating that their explanatory power on GCF fluctuations is relatively limited in this sample. In general, Model 2 provides key empirical evidence for the mediating path from typhoon to GCF, and lays a foundation for the subsequent mediating effect test</w:t>
      </w:r>
      <w:r>
        <w:rPr>
          <w:rFonts w:cs="Times New Roman"/>
          <w:color w:val="000000"/>
        </w:rPr>
        <w:t>.</w:t>
      </w:r>
      <w:bookmarkEnd w:id="113"/>
    </w:p>
    <w:p w14:paraId="10FEEE9A">
      <w:pPr>
        <w:pStyle w:val="4"/>
        <w:numPr>
          <w:ilvl w:val="2"/>
          <w:numId w:val="0"/>
        </w:numPr>
        <w:ind w:leftChars="0"/>
      </w:pPr>
      <w:bookmarkStart w:id="114" w:name="_Toc216969538"/>
      <w:r>
        <w:t>Model 3 Results</w:t>
      </w:r>
      <w:bookmarkEnd w:id="114"/>
    </w:p>
    <w:p w14:paraId="1F143C60">
      <w:pPr>
        <w:pStyle w:val="7"/>
      </w:pPr>
      <w:bookmarkStart w:id="115" w:name="_Toc216867796"/>
      <w:r>
        <w:t xml:space="preserve">Table </w:t>
      </w:r>
      <w:r>
        <w:rPr>
          <w:rFonts w:hint="eastAsia" w:eastAsia="宋体"/>
          <w:lang w:val="en-US" w:eastAsia="zh-CN"/>
        </w:rPr>
        <w:t xml:space="preserve">7 </w:t>
      </w:r>
      <w:r>
        <w:t>Baseline Estimation Results (Model 3)</w:t>
      </w:r>
      <w:bookmarkEnd w:id="115"/>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402"/>
        <w:gridCol w:w="1390"/>
        <w:gridCol w:w="1309"/>
        <w:gridCol w:w="1539"/>
        <w:gridCol w:w="1537"/>
      </w:tblGrid>
      <w:tr w14:paraId="0CB21658">
        <w:tc>
          <w:tcPr>
            <w:tcW w:w="746" w:type="pct"/>
            <w:tcBorders>
              <w:top w:val="single" w:color="auto" w:sz="4" w:space="0"/>
              <w:left w:val="nil"/>
              <w:bottom w:val="nil"/>
              <w:right w:val="nil"/>
            </w:tcBorders>
          </w:tcPr>
          <w:p w14:paraId="665CEBB7">
            <w:pPr>
              <w:pStyle w:val="69"/>
              <w:spacing w:line="360" w:lineRule="auto"/>
              <w:rPr>
                <w:rFonts w:ascii="Times New Roman" w:hAnsi="Times New Roman"/>
                <w:color w:val="000000"/>
                <w:sz w:val="20"/>
                <w:szCs w:val="20"/>
              </w:rPr>
            </w:pPr>
            <w:r>
              <w:rPr>
                <w:rFonts w:ascii="Times New Roman" w:hAnsi="Times New Roman"/>
                <w:color w:val="000000"/>
                <w:sz w:val="20"/>
                <w:szCs w:val="20"/>
              </w:rPr>
              <w:t>Dependent variable</w:t>
            </w:r>
          </w:p>
        </w:tc>
        <w:tc>
          <w:tcPr>
            <w:tcW w:w="831" w:type="pct"/>
            <w:tcBorders>
              <w:top w:val="single" w:color="auto" w:sz="4" w:space="0"/>
              <w:left w:val="nil"/>
              <w:bottom w:val="single" w:color="auto" w:sz="4" w:space="0"/>
              <w:right w:val="nil"/>
            </w:tcBorders>
            <w:vAlign w:val="center"/>
          </w:tcPr>
          <w:p w14:paraId="15CBB834">
            <w:pPr>
              <w:pStyle w:val="69"/>
              <w:spacing w:line="360" w:lineRule="auto"/>
              <w:rPr>
                <w:rFonts w:ascii="Times New Roman" w:hAnsi="Times New Roman"/>
                <w:color w:val="000000"/>
                <w:sz w:val="20"/>
                <w:szCs w:val="20"/>
              </w:rPr>
            </w:pPr>
            <w:r>
              <w:rPr>
                <w:rFonts w:ascii="Times New Roman" w:hAnsi="Times New Roman"/>
                <w:color w:val="000000"/>
                <w:sz w:val="20"/>
                <w:szCs w:val="20"/>
              </w:rPr>
              <w:t>(1) GDP</w:t>
            </w:r>
          </w:p>
        </w:tc>
        <w:tc>
          <w:tcPr>
            <w:tcW w:w="824" w:type="pct"/>
            <w:tcBorders>
              <w:top w:val="single" w:color="auto" w:sz="4" w:space="0"/>
              <w:left w:val="nil"/>
              <w:bottom w:val="single" w:color="auto" w:sz="4" w:space="0"/>
              <w:right w:val="nil"/>
            </w:tcBorders>
            <w:vAlign w:val="center"/>
          </w:tcPr>
          <w:p w14:paraId="43666BDF">
            <w:pPr>
              <w:pStyle w:val="69"/>
              <w:spacing w:line="360" w:lineRule="auto"/>
              <w:rPr>
                <w:rFonts w:ascii="Times New Roman" w:hAnsi="Times New Roman"/>
                <w:color w:val="000000"/>
                <w:sz w:val="20"/>
                <w:szCs w:val="20"/>
              </w:rPr>
            </w:pPr>
            <w:r>
              <w:rPr>
                <w:rFonts w:ascii="Times New Roman" w:hAnsi="Times New Roman"/>
                <w:color w:val="000000"/>
                <w:sz w:val="20"/>
                <w:szCs w:val="20"/>
              </w:rPr>
              <w:t>(2) UE</w:t>
            </w:r>
          </w:p>
        </w:tc>
        <w:tc>
          <w:tcPr>
            <w:tcW w:w="776" w:type="pct"/>
            <w:tcBorders>
              <w:top w:val="single" w:color="auto" w:sz="4" w:space="0"/>
              <w:left w:val="nil"/>
              <w:bottom w:val="single" w:color="auto" w:sz="4" w:space="0"/>
              <w:right w:val="nil"/>
            </w:tcBorders>
            <w:vAlign w:val="center"/>
          </w:tcPr>
          <w:p w14:paraId="4B4520B4">
            <w:pPr>
              <w:pStyle w:val="69"/>
              <w:spacing w:line="360" w:lineRule="auto"/>
              <w:rPr>
                <w:rFonts w:ascii="Times New Roman" w:hAnsi="Times New Roman"/>
                <w:color w:val="000000"/>
                <w:sz w:val="20"/>
                <w:szCs w:val="20"/>
              </w:rPr>
            </w:pPr>
            <w:r>
              <w:rPr>
                <w:rFonts w:ascii="Times New Roman" w:hAnsi="Times New Roman"/>
                <w:color w:val="000000"/>
                <w:sz w:val="20"/>
                <w:szCs w:val="20"/>
              </w:rPr>
              <w:t>(3) AR</w:t>
            </w:r>
          </w:p>
        </w:tc>
        <w:tc>
          <w:tcPr>
            <w:tcW w:w="912" w:type="pct"/>
            <w:tcBorders>
              <w:left w:val="nil"/>
              <w:bottom w:val="single" w:color="auto" w:sz="4" w:space="0"/>
              <w:right w:val="nil"/>
            </w:tcBorders>
            <w:vAlign w:val="center"/>
          </w:tcPr>
          <w:p w14:paraId="3604794D">
            <w:pPr>
              <w:pStyle w:val="69"/>
              <w:spacing w:line="360" w:lineRule="auto"/>
              <w:rPr>
                <w:rFonts w:ascii="Times New Roman" w:hAnsi="Times New Roman"/>
                <w:color w:val="000000"/>
                <w:sz w:val="20"/>
                <w:szCs w:val="20"/>
              </w:rPr>
            </w:pPr>
            <w:r>
              <w:rPr>
                <w:rFonts w:ascii="Times New Roman" w:hAnsi="Times New Roman"/>
                <w:color w:val="000000"/>
                <w:sz w:val="20"/>
                <w:szCs w:val="20"/>
              </w:rPr>
              <w:t>(4) FDI</w:t>
            </w:r>
          </w:p>
        </w:tc>
        <w:tc>
          <w:tcPr>
            <w:tcW w:w="911" w:type="pct"/>
            <w:tcBorders>
              <w:left w:val="nil"/>
              <w:bottom w:val="single" w:color="auto" w:sz="4" w:space="0"/>
            </w:tcBorders>
            <w:vAlign w:val="center"/>
          </w:tcPr>
          <w:p w14:paraId="64AE45A1">
            <w:pPr>
              <w:pStyle w:val="69"/>
              <w:spacing w:line="360" w:lineRule="auto"/>
              <w:rPr>
                <w:rFonts w:ascii="Times New Roman" w:hAnsi="Times New Roman"/>
                <w:color w:val="000000"/>
                <w:sz w:val="20"/>
                <w:szCs w:val="20"/>
              </w:rPr>
            </w:pPr>
            <w:r>
              <w:rPr>
                <w:rFonts w:ascii="Times New Roman" w:hAnsi="Times New Roman"/>
                <w:color w:val="000000"/>
                <w:sz w:val="20"/>
                <w:szCs w:val="20"/>
              </w:rPr>
              <w:t>(5) INFLA</w:t>
            </w:r>
          </w:p>
        </w:tc>
      </w:tr>
      <w:tr w14:paraId="0E0A52FF">
        <w:tc>
          <w:tcPr>
            <w:tcW w:w="746" w:type="pct"/>
            <w:tcBorders>
              <w:top w:val="nil"/>
              <w:left w:val="nil"/>
              <w:bottom w:val="nil"/>
              <w:right w:val="nil"/>
            </w:tcBorders>
          </w:tcPr>
          <w:p w14:paraId="270FF42E">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831" w:type="pct"/>
            <w:tcBorders>
              <w:top w:val="single" w:color="auto" w:sz="4" w:space="0"/>
              <w:left w:val="nil"/>
              <w:bottom w:val="single" w:color="auto" w:sz="4" w:space="0"/>
              <w:right w:val="nil"/>
            </w:tcBorders>
            <w:vAlign w:val="center"/>
          </w:tcPr>
          <w:p w14:paraId="2A1743C2">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24" w:type="pct"/>
            <w:tcBorders>
              <w:top w:val="single" w:color="auto" w:sz="4" w:space="0"/>
              <w:left w:val="nil"/>
              <w:bottom w:val="single" w:color="auto" w:sz="4" w:space="0"/>
              <w:right w:val="nil"/>
            </w:tcBorders>
            <w:vAlign w:val="center"/>
          </w:tcPr>
          <w:p w14:paraId="598F220C">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776" w:type="pct"/>
            <w:tcBorders>
              <w:top w:val="single" w:color="auto" w:sz="4" w:space="0"/>
              <w:left w:val="nil"/>
              <w:bottom w:val="single" w:color="auto" w:sz="4" w:space="0"/>
              <w:right w:val="nil"/>
            </w:tcBorders>
            <w:vAlign w:val="center"/>
          </w:tcPr>
          <w:p w14:paraId="631A0584">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12" w:type="pct"/>
            <w:tcBorders>
              <w:top w:val="single" w:color="auto" w:sz="4" w:space="0"/>
              <w:left w:val="nil"/>
              <w:bottom w:val="single" w:color="auto" w:sz="4" w:space="0"/>
              <w:right w:val="nil"/>
            </w:tcBorders>
            <w:vAlign w:val="center"/>
          </w:tcPr>
          <w:p w14:paraId="78528D04">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11" w:type="pct"/>
            <w:tcBorders>
              <w:left w:val="nil"/>
              <w:bottom w:val="single" w:color="auto" w:sz="4" w:space="0"/>
            </w:tcBorders>
            <w:vAlign w:val="center"/>
          </w:tcPr>
          <w:p w14:paraId="11F8BA28">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23037831">
        <w:tc>
          <w:tcPr>
            <w:tcW w:w="746" w:type="pct"/>
            <w:tcBorders>
              <w:top w:val="single" w:color="auto" w:sz="4" w:space="0"/>
              <w:left w:val="nil"/>
              <w:bottom w:val="nil"/>
              <w:right w:val="nil"/>
            </w:tcBorders>
          </w:tcPr>
          <w:p w14:paraId="3D1EB889">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TEI_agri</w:t>
            </w:r>
          </w:p>
        </w:tc>
        <w:tc>
          <w:tcPr>
            <w:tcW w:w="831" w:type="pct"/>
            <w:tcBorders>
              <w:top w:val="single" w:color="auto" w:sz="4" w:space="0"/>
              <w:left w:val="nil"/>
              <w:bottom w:val="nil"/>
              <w:right w:val="nil"/>
            </w:tcBorders>
          </w:tcPr>
          <w:p w14:paraId="5E9A2693">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0.0092922***</w:t>
            </w:r>
          </w:p>
        </w:tc>
        <w:tc>
          <w:tcPr>
            <w:tcW w:w="824" w:type="pct"/>
            <w:tcBorders>
              <w:top w:val="single" w:color="auto" w:sz="4" w:space="0"/>
              <w:left w:val="nil"/>
              <w:bottom w:val="nil"/>
              <w:right w:val="nil"/>
            </w:tcBorders>
          </w:tcPr>
          <w:p w14:paraId="5AC6C831">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-0.002107</w:t>
            </w:r>
          </w:p>
        </w:tc>
        <w:tc>
          <w:tcPr>
            <w:tcW w:w="776" w:type="pct"/>
            <w:tcBorders>
              <w:top w:val="single" w:color="auto" w:sz="4" w:space="0"/>
              <w:left w:val="nil"/>
              <w:bottom w:val="nil"/>
              <w:right w:val="nil"/>
            </w:tcBorders>
          </w:tcPr>
          <w:p w14:paraId="16FAE422">
            <w:pPr>
              <w:pStyle w:val="69"/>
              <w:spacing w:line="360" w:lineRule="auto"/>
              <w:rPr>
                <w:rFonts w:ascii="Times New Roman" w:hAnsi="Times New Roman"/>
                <w:color w:val="000000"/>
                <w:sz w:val="20"/>
                <w:szCs w:val="20"/>
              </w:rPr>
            </w:pPr>
            <w:r>
              <w:rPr>
                <w:rFonts w:ascii="Times New Roman" w:hAnsi="Times New Roman"/>
                <w:color w:val="000000"/>
                <w:sz w:val="20"/>
                <w:szCs w:val="20"/>
              </w:rPr>
              <w:t>0.0103494</w:t>
            </w:r>
          </w:p>
        </w:tc>
        <w:tc>
          <w:tcPr>
            <w:tcW w:w="912" w:type="pct"/>
            <w:tcBorders>
              <w:top w:val="single" w:color="auto" w:sz="4" w:space="0"/>
              <w:left w:val="nil"/>
              <w:bottom w:val="nil"/>
              <w:right w:val="nil"/>
            </w:tcBorders>
          </w:tcPr>
          <w:p w14:paraId="320EA825">
            <w:pPr>
              <w:pStyle w:val="69"/>
              <w:spacing w:line="360" w:lineRule="auto"/>
              <w:rPr>
                <w:rFonts w:ascii="Times New Roman" w:hAnsi="Times New Roman"/>
                <w:color w:val="000000"/>
                <w:sz w:val="20"/>
                <w:szCs w:val="20"/>
              </w:rPr>
            </w:pPr>
            <w:r>
              <w:rPr>
                <w:rFonts w:ascii="Times New Roman" w:hAnsi="Times New Roman"/>
                <w:color w:val="000000"/>
                <w:sz w:val="20"/>
                <w:szCs w:val="20"/>
              </w:rPr>
              <w:t>0.0015866</w:t>
            </w:r>
          </w:p>
        </w:tc>
        <w:tc>
          <w:tcPr>
            <w:tcW w:w="911" w:type="pct"/>
            <w:tcBorders>
              <w:left w:val="nil"/>
              <w:bottom w:val="nil"/>
            </w:tcBorders>
          </w:tcPr>
          <w:p w14:paraId="77556B54">
            <w:pPr>
              <w:pStyle w:val="69"/>
              <w:spacing w:line="360" w:lineRule="auto"/>
              <w:rPr>
                <w:rFonts w:ascii="Times New Roman" w:hAnsi="Times New Roman"/>
                <w:color w:val="000000"/>
                <w:sz w:val="20"/>
                <w:szCs w:val="20"/>
              </w:rPr>
            </w:pPr>
            <w:r>
              <w:rPr>
                <w:rFonts w:ascii="Times New Roman" w:hAnsi="Times New Roman"/>
                <w:color w:val="000000"/>
                <w:sz w:val="20"/>
                <w:szCs w:val="20"/>
              </w:rPr>
              <w:t>0.0254606**</w:t>
            </w:r>
          </w:p>
        </w:tc>
      </w:tr>
      <w:tr w14:paraId="4B91E7F6">
        <w:tc>
          <w:tcPr>
            <w:tcW w:w="746" w:type="pct"/>
            <w:tcBorders>
              <w:top w:val="nil"/>
              <w:left w:val="nil"/>
              <w:bottom w:val="nil"/>
              <w:right w:val="nil"/>
            </w:tcBorders>
          </w:tcPr>
          <w:p w14:paraId="5726C13F">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04D078BD">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(0.0025571)</w:t>
            </w:r>
          </w:p>
        </w:tc>
        <w:tc>
          <w:tcPr>
            <w:tcW w:w="824" w:type="pct"/>
            <w:tcBorders>
              <w:top w:val="nil"/>
              <w:left w:val="nil"/>
              <w:bottom w:val="nil"/>
              <w:right w:val="nil"/>
            </w:tcBorders>
          </w:tcPr>
          <w:p w14:paraId="4CB49EE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(0.001525)</w:t>
            </w:r>
          </w:p>
        </w:tc>
        <w:tc>
          <w:tcPr>
            <w:tcW w:w="776" w:type="pct"/>
            <w:tcBorders>
              <w:top w:val="nil"/>
              <w:left w:val="nil"/>
              <w:bottom w:val="nil"/>
              <w:right w:val="nil"/>
            </w:tcBorders>
          </w:tcPr>
          <w:p w14:paraId="48403518">
            <w:pPr>
              <w:pStyle w:val="69"/>
              <w:spacing w:line="360" w:lineRule="auto"/>
              <w:rPr>
                <w:rFonts w:ascii="Times New Roman" w:hAnsi="Times New Roman"/>
                <w:color w:val="000000"/>
                <w:sz w:val="20"/>
                <w:szCs w:val="20"/>
              </w:rPr>
            </w:pPr>
            <w:r>
              <w:rPr>
                <w:rFonts w:ascii="Times New Roman" w:hAnsi="Times New Roman"/>
                <w:color w:val="000000"/>
                <w:sz w:val="20"/>
                <w:szCs w:val="20"/>
              </w:rPr>
              <w:t>(0.0067744)</w:t>
            </w:r>
          </w:p>
        </w:tc>
        <w:tc>
          <w:tcPr>
            <w:tcW w:w="912" w:type="pct"/>
            <w:tcBorders>
              <w:top w:val="nil"/>
              <w:left w:val="nil"/>
              <w:bottom w:val="nil"/>
              <w:right w:val="nil"/>
            </w:tcBorders>
          </w:tcPr>
          <w:p w14:paraId="6241B042">
            <w:pPr>
              <w:pStyle w:val="69"/>
              <w:spacing w:line="360" w:lineRule="auto"/>
              <w:rPr>
                <w:rFonts w:ascii="Times New Roman" w:hAnsi="Times New Roman"/>
                <w:color w:val="000000"/>
                <w:sz w:val="20"/>
                <w:szCs w:val="20"/>
              </w:rPr>
            </w:pPr>
            <w:r>
              <w:rPr>
                <w:rFonts w:ascii="Times New Roman" w:hAnsi="Times New Roman"/>
                <w:color w:val="000000"/>
                <w:sz w:val="20"/>
                <w:szCs w:val="20"/>
              </w:rPr>
              <w:t>(0.0032643)</w:t>
            </w:r>
          </w:p>
        </w:tc>
        <w:tc>
          <w:tcPr>
            <w:tcW w:w="911" w:type="pct"/>
            <w:tcBorders>
              <w:top w:val="nil"/>
              <w:left w:val="nil"/>
              <w:bottom w:val="nil"/>
            </w:tcBorders>
          </w:tcPr>
          <w:p w14:paraId="0D13CC51">
            <w:pPr>
              <w:pStyle w:val="69"/>
              <w:spacing w:line="360" w:lineRule="auto"/>
              <w:rPr>
                <w:rFonts w:ascii="Times New Roman" w:hAnsi="Times New Roman"/>
                <w:color w:val="000000"/>
                <w:sz w:val="20"/>
                <w:szCs w:val="20"/>
              </w:rPr>
            </w:pPr>
            <w:r>
              <w:rPr>
                <w:rFonts w:ascii="Times New Roman" w:hAnsi="Times New Roman"/>
                <w:color w:val="000000"/>
                <w:sz w:val="20"/>
                <w:szCs w:val="20"/>
              </w:rPr>
              <w:t>(0.0089841)</w:t>
            </w:r>
          </w:p>
        </w:tc>
      </w:tr>
      <w:tr w14:paraId="28B42E79">
        <w:tc>
          <w:tcPr>
            <w:tcW w:w="746" w:type="pct"/>
            <w:tcBorders>
              <w:top w:val="nil"/>
              <w:left w:val="nil"/>
              <w:bottom w:val="nil"/>
              <w:right w:val="nil"/>
            </w:tcBorders>
          </w:tcPr>
          <w:p w14:paraId="377CAC79">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GCF</w:t>
            </w:r>
          </w:p>
        </w:tc>
        <w:tc>
          <w:tcPr>
            <w:tcW w:w="831" w:type="pct"/>
            <w:tcBorders>
              <w:top w:val="nil"/>
              <w:left w:val="nil"/>
              <w:bottom w:val="nil"/>
              <w:right w:val="nil"/>
            </w:tcBorders>
          </w:tcPr>
          <w:p w14:paraId="44F16B35">
            <w:pPr>
              <w:pStyle w:val="69"/>
              <w:spacing w:line="360" w:lineRule="auto"/>
              <w:rPr>
                <w:rFonts w:ascii="Times New Roman" w:hAnsi="Times New Roman"/>
                <w:color w:val="000000"/>
                <w:sz w:val="20"/>
                <w:szCs w:val="20"/>
              </w:rPr>
            </w:pPr>
            <w:r>
              <w:rPr>
                <w:rFonts w:ascii="Times New Roman" w:hAnsi="Times New Roman"/>
                <w:color w:val="000000"/>
                <w:sz w:val="20"/>
                <w:szCs w:val="20"/>
              </w:rPr>
              <w:t>-0.0034704</w:t>
            </w:r>
          </w:p>
        </w:tc>
        <w:tc>
          <w:tcPr>
            <w:tcW w:w="824" w:type="pct"/>
            <w:tcBorders>
              <w:top w:val="nil"/>
              <w:left w:val="nil"/>
              <w:bottom w:val="nil"/>
              <w:right w:val="nil"/>
            </w:tcBorders>
          </w:tcPr>
          <w:p w14:paraId="7CAAB481">
            <w:pPr>
              <w:pStyle w:val="69"/>
              <w:spacing w:line="360" w:lineRule="auto"/>
              <w:rPr>
                <w:rFonts w:ascii="Times New Roman" w:hAnsi="Times New Roman"/>
                <w:color w:val="000000"/>
                <w:sz w:val="20"/>
                <w:szCs w:val="20"/>
              </w:rPr>
            </w:pPr>
            <w:r>
              <w:rPr>
                <w:rFonts w:ascii="Times New Roman" w:hAnsi="Times New Roman"/>
                <w:color w:val="000000"/>
                <w:sz w:val="20"/>
                <w:szCs w:val="20"/>
              </w:rPr>
              <w:t>-0.0235368</w:t>
            </w:r>
          </w:p>
        </w:tc>
        <w:tc>
          <w:tcPr>
            <w:tcW w:w="776" w:type="pct"/>
            <w:tcBorders>
              <w:top w:val="nil"/>
              <w:left w:val="nil"/>
              <w:bottom w:val="nil"/>
              <w:right w:val="nil"/>
            </w:tcBorders>
          </w:tcPr>
          <w:p w14:paraId="3BDBBA6A">
            <w:pPr>
              <w:pStyle w:val="69"/>
              <w:spacing w:line="360" w:lineRule="auto"/>
              <w:rPr>
                <w:rFonts w:ascii="Times New Roman" w:hAnsi="Times New Roman"/>
                <w:color w:val="000000"/>
                <w:sz w:val="20"/>
                <w:szCs w:val="20"/>
              </w:rPr>
            </w:pPr>
            <w:r>
              <w:rPr>
                <w:rFonts w:ascii="Times New Roman" w:hAnsi="Times New Roman"/>
                <w:color w:val="000000"/>
                <w:sz w:val="20"/>
                <w:szCs w:val="20"/>
              </w:rPr>
              <w:t>-0.43062***</w:t>
            </w:r>
          </w:p>
        </w:tc>
        <w:tc>
          <w:tcPr>
            <w:tcW w:w="912" w:type="pct"/>
            <w:tcBorders>
              <w:top w:val="nil"/>
              <w:left w:val="nil"/>
              <w:bottom w:val="nil"/>
              <w:right w:val="nil"/>
            </w:tcBorders>
          </w:tcPr>
          <w:p w14:paraId="778B5097">
            <w:pPr>
              <w:pStyle w:val="69"/>
              <w:spacing w:line="360" w:lineRule="auto"/>
              <w:rPr>
                <w:rFonts w:ascii="Times New Roman" w:hAnsi="Times New Roman"/>
                <w:color w:val="000000"/>
                <w:sz w:val="20"/>
                <w:szCs w:val="20"/>
              </w:rPr>
            </w:pPr>
            <w:r>
              <w:rPr>
                <w:rFonts w:ascii="Times New Roman" w:hAnsi="Times New Roman"/>
                <w:color w:val="000000"/>
                <w:sz w:val="20"/>
                <w:szCs w:val="20"/>
              </w:rPr>
              <w:t>0.0554921*</w:t>
            </w:r>
          </w:p>
        </w:tc>
        <w:tc>
          <w:tcPr>
            <w:tcW w:w="911" w:type="pct"/>
            <w:tcBorders>
              <w:top w:val="nil"/>
              <w:left w:val="nil"/>
              <w:bottom w:val="nil"/>
            </w:tcBorders>
          </w:tcPr>
          <w:p w14:paraId="369FBA20">
            <w:pPr>
              <w:pStyle w:val="69"/>
              <w:spacing w:line="360" w:lineRule="auto"/>
              <w:rPr>
                <w:rFonts w:ascii="Times New Roman" w:hAnsi="Times New Roman"/>
                <w:color w:val="000000"/>
                <w:sz w:val="20"/>
                <w:szCs w:val="20"/>
              </w:rPr>
            </w:pPr>
            <w:r>
              <w:rPr>
                <w:rFonts w:ascii="Times New Roman" w:hAnsi="Times New Roman"/>
                <w:color w:val="000000"/>
                <w:sz w:val="20"/>
                <w:szCs w:val="20"/>
              </w:rPr>
              <w:t>-0.4186686**</w:t>
            </w:r>
          </w:p>
        </w:tc>
      </w:tr>
      <w:tr w14:paraId="68FD6465">
        <w:tc>
          <w:tcPr>
            <w:tcW w:w="746" w:type="pct"/>
            <w:tcBorders>
              <w:top w:val="nil"/>
              <w:left w:val="nil"/>
              <w:bottom w:val="nil"/>
              <w:right w:val="nil"/>
            </w:tcBorders>
          </w:tcPr>
          <w:p w14:paraId="2367B16C">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5C0E516D">
            <w:pPr>
              <w:pStyle w:val="69"/>
              <w:spacing w:line="360" w:lineRule="auto"/>
              <w:rPr>
                <w:rFonts w:ascii="Times New Roman" w:hAnsi="Times New Roman"/>
                <w:color w:val="000000"/>
                <w:sz w:val="20"/>
                <w:szCs w:val="20"/>
              </w:rPr>
            </w:pPr>
            <w:r>
              <w:rPr>
                <w:rFonts w:ascii="Times New Roman" w:hAnsi="Times New Roman"/>
                <w:color w:val="000000"/>
                <w:sz w:val="20"/>
                <w:szCs w:val="20"/>
              </w:rPr>
              <w:t>(0.069796)</w:t>
            </w:r>
          </w:p>
        </w:tc>
        <w:tc>
          <w:tcPr>
            <w:tcW w:w="824" w:type="pct"/>
            <w:tcBorders>
              <w:top w:val="nil"/>
              <w:left w:val="nil"/>
              <w:bottom w:val="nil"/>
              <w:right w:val="nil"/>
            </w:tcBorders>
          </w:tcPr>
          <w:p w14:paraId="2C56B098">
            <w:pPr>
              <w:pStyle w:val="69"/>
              <w:spacing w:line="360" w:lineRule="auto"/>
              <w:rPr>
                <w:rFonts w:ascii="Times New Roman" w:hAnsi="Times New Roman"/>
                <w:color w:val="000000"/>
                <w:sz w:val="20"/>
                <w:szCs w:val="20"/>
              </w:rPr>
            </w:pPr>
            <w:r>
              <w:rPr>
                <w:rFonts w:ascii="Times New Roman" w:hAnsi="Times New Roman"/>
                <w:color w:val="000000"/>
                <w:sz w:val="20"/>
                <w:szCs w:val="20"/>
              </w:rPr>
              <w:t>(0.028527)</w:t>
            </w:r>
          </w:p>
        </w:tc>
        <w:tc>
          <w:tcPr>
            <w:tcW w:w="776" w:type="pct"/>
            <w:tcBorders>
              <w:top w:val="nil"/>
              <w:left w:val="nil"/>
              <w:bottom w:val="nil"/>
              <w:right w:val="nil"/>
            </w:tcBorders>
          </w:tcPr>
          <w:p w14:paraId="14C18393">
            <w:pPr>
              <w:pStyle w:val="69"/>
              <w:spacing w:line="360" w:lineRule="auto"/>
              <w:rPr>
                <w:rFonts w:ascii="Times New Roman" w:hAnsi="Times New Roman"/>
                <w:color w:val="000000"/>
                <w:sz w:val="20"/>
                <w:szCs w:val="20"/>
              </w:rPr>
            </w:pPr>
            <w:r>
              <w:rPr>
                <w:rFonts w:ascii="Times New Roman" w:hAnsi="Times New Roman"/>
                <w:color w:val="000000"/>
                <w:sz w:val="20"/>
                <w:szCs w:val="20"/>
              </w:rPr>
              <w:t>(0.1282317)</w:t>
            </w:r>
          </w:p>
        </w:tc>
        <w:tc>
          <w:tcPr>
            <w:tcW w:w="912" w:type="pct"/>
            <w:tcBorders>
              <w:top w:val="nil"/>
              <w:left w:val="nil"/>
              <w:bottom w:val="nil"/>
              <w:right w:val="nil"/>
            </w:tcBorders>
          </w:tcPr>
          <w:p w14:paraId="5EE15566">
            <w:pPr>
              <w:pStyle w:val="69"/>
              <w:spacing w:line="360" w:lineRule="auto"/>
              <w:rPr>
                <w:rFonts w:ascii="Times New Roman" w:hAnsi="Times New Roman"/>
                <w:color w:val="000000"/>
                <w:sz w:val="20"/>
                <w:szCs w:val="20"/>
              </w:rPr>
            </w:pPr>
            <w:r>
              <w:rPr>
                <w:rFonts w:ascii="Times New Roman" w:hAnsi="Times New Roman"/>
                <w:color w:val="000000"/>
                <w:sz w:val="20"/>
                <w:szCs w:val="20"/>
              </w:rPr>
              <w:t>(0.0261162)</w:t>
            </w:r>
          </w:p>
        </w:tc>
        <w:tc>
          <w:tcPr>
            <w:tcW w:w="911" w:type="pct"/>
            <w:tcBorders>
              <w:top w:val="nil"/>
              <w:left w:val="nil"/>
              <w:bottom w:val="nil"/>
            </w:tcBorders>
          </w:tcPr>
          <w:p w14:paraId="05961056">
            <w:pPr>
              <w:pStyle w:val="69"/>
              <w:spacing w:line="360" w:lineRule="auto"/>
              <w:rPr>
                <w:rFonts w:ascii="Times New Roman" w:hAnsi="Times New Roman"/>
                <w:color w:val="000000"/>
                <w:sz w:val="20"/>
                <w:szCs w:val="20"/>
              </w:rPr>
            </w:pPr>
            <w:r>
              <w:rPr>
                <w:rFonts w:ascii="Times New Roman" w:hAnsi="Times New Roman"/>
                <w:color w:val="000000"/>
                <w:sz w:val="20"/>
                <w:szCs w:val="20"/>
              </w:rPr>
              <w:t>(0.136493)</w:t>
            </w:r>
          </w:p>
        </w:tc>
      </w:tr>
      <w:tr w14:paraId="668951D4">
        <w:tc>
          <w:tcPr>
            <w:tcW w:w="746" w:type="pct"/>
            <w:tcBorders>
              <w:top w:val="nil"/>
              <w:left w:val="nil"/>
              <w:bottom w:val="nil"/>
              <w:right w:val="nil"/>
            </w:tcBorders>
          </w:tcPr>
          <w:p w14:paraId="5C015686">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831" w:type="pct"/>
            <w:tcBorders>
              <w:top w:val="nil"/>
              <w:left w:val="nil"/>
              <w:bottom w:val="nil"/>
              <w:right w:val="nil"/>
            </w:tcBorders>
          </w:tcPr>
          <w:p w14:paraId="3A6138BC">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-0.0268149</w:t>
            </w:r>
          </w:p>
        </w:tc>
        <w:tc>
          <w:tcPr>
            <w:tcW w:w="824" w:type="pct"/>
            <w:tcBorders>
              <w:top w:val="nil"/>
              <w:left w:val="nil"/>
              <w:bottom w:val="nil"/>
              <w:right w:val="nil"/>
            </w:tcBorders>
          </w:tcPr>
          <w:p w14:paraId="3ECA46E9">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0.0187345 *</w:t>
            </w:r>
          </w:p>
        </w:tc>
        <w:tc>
          <w:tcPr>
            <w:tcW w:w="776" w:type="pct"/>
            <w:tcBorders>
              <w:top w:val="nil"/>
              <w:left w:val="nil"/>
              <w:bottom w:val="nil"/>
              <w:right w:val="nil"/>
            </w:tcBorders>
          </w:tcPr>
          <w:p w14:paraId="710F1E7A">
            <w:pPr>
              <w:pStyle w:val="69"/>
              <w:spacing w:line="360" w:lineRule="auto"/>
              <w:rPr>
                <w:rFonts w:ascii="Times New Roman" w:hAnsi="Times New Roman"/>
                <w:color w:val="000000"/>
                <w:sz w:val="20"/>
                <w:szCs w:val="20"/>
              </w:rPr>
            </w:pPr>
            <w:r>
              <w:rPr>
                <w:rFonts w:ascii="Times New Roman" w:hAnsi="Times New Roman"/>
                <w:color w:val="000000"/>
                <w:sz w:val="20"/>
                <w:szCs w:val="20"/>
              </w:rPr>
              <w:t>-0.103077**</w:t>
            </w:r>
          </w:p>
        </w:tc>
        <w:tc>
          <w:tcPr>
            <w:tcW w:w="912" w:type="pct"/>
            <w:tcBorders>
              <w:top w:val="nil"/>
              <w:left w:val="nil"/>
              <w:bottom w:val="nil"/>
              <w:right w:val="nil"/>
            </w:tcBorders>
          </w:tcPr>
          <w:p w14:paraId="6C11133F">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0.0140995  </w:t>
            </w:r>
          </w:p>
        </w:tc>
        <w:tc>
          <w:tcPr>
            <w:tcW w:w="911" w:type="pct"/>
            <w:tcBorders>
              <w:top w:val="nil"/>
              <w:left w:val="nil"/>
              <w:bottom w:val="nil"/>
            </w:tcBorders>
          </w:tcPr>
          <w:p w14:paraId="661C4B80">
            <w:pPr>
              <w:pStyle w:val="69"/>
              <w:spacing w:line="360" w:lineRule="auto"/>
              <w:rPr>
                <w:rFonts w:ascii="Times New Roman" w:hAnsi="Times New Roman"/>
                <w:color w:val="000000"/>
                <w:sz w:val="20"/>
                <w:szCs w:val="20"/>
              </w:rPr>
            </w:pPr>
            <w:r>
              <w:rPr>
                <w:rFonts w:ascii="Times New Roman" w:hAnsi="Times New Roman"/>
                <w:color w:val="000000"/>
                <w:sz w:val="20"/>
                <w:szCs w:val="20"/>
              </w:rPr>
              <w:t>-0.0247152</w:t>
            </w:r>
          </w:p>
        </w:tc>
      </w:tr>
      <w:tr w14:paraId="474971C7">
        <w:tc>
          <w:tcPr>
            <w:tcW w:w="746" w:type="pct"/>
            <w:tcBorders>
              <w:top w:val="nil"/>
              <w:left w:val="nil"/>
              <w:bottom w:val="nil"/>
              <w:right w:val="nil"/>
            </w:tcBorders>
          </w:tcPr>
          <w:p w14:paraId="3D15142C">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6CB3B3DF">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(0.0313405)</w:t>
            </w:r>
          </w:p>
        </w:tc>
        <w:tc>
          <w:tcPr>
            <w:tcW w:w="824" w:type="pct"/>
            <w:tcBorders>
              <w:top w:val="nil"/>
              <w:left w:val="nil"/>
              <w:bottom w:val="nil"/>
              <w:right w:val="nil"/>
            </w:tcBorders>
          </w:tcPr>
          <w:p w14:paraId="450874B0">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(0.0099929)</w:t>
            </w:r>
          </w:p>
        </w:tc>
        <w:tc>
          <w:tcPr>
            <w:tcW w:w="776" w:type="pct"/>
            <w:tcBorders>
              <w:top w:val="nil"/>
              <w:left w:val="nil"/>
              <w:bottom w:val="nil"/>
              <w:right w:val="nil"/>
            </w:tcBorders>
          </w:tcPr>
          <w:p w14:paraId="70715562">
            <w:pPr>
              <w:pStyle w:val="69"/>
              <w:spacing w:line="360" w:lineRule="auto"/>
              <w:rPr>
                <w:rFonts w:ascii="Times New Roman" w:hAnsi="Times New Roman"/>
                <w:color w:val="000000"/>
                <w:sz w:val="20"/>
                <w:szCs w:val="20"/>
              </w:rPr>
            </w:pPr>
            <w:r>
              <w:rPr>
                <w:rFonts w:ascii="Times New Roman" w:hAnsi="Times New Roman"/>
                <w:color w:val="000000"/>
                <w:sz w:val="20"/>
                <w:szCs w:val="20"/>
              </w:rPr>
              <w:t>(0.0456471)</w:t>
            </w:r>
          </w:p>
        </w:tc>
        <w:tc>
          <w:tcPr>
            <w:tcW w:w="912" w:type="pct"/>
            <w:tcBorders>
              <w:top w:val="nil"/>
              <w:left w:val="nil"/>
              <w:bottom w:val="nil"/>
              <w:right w:val="nil"/>
            </w:tcBorders>
          </w:tcPr>
          <w:p w14:paraId="46E57B73">
            <w:pPr>
              <w:pStyle w:val="69"/>
              <w:spacing w:line="360" w:lineRule="auto"/>
              <w:rPr>
                <w:rFonts w:ascii="Times New Roman" w:hAnsi="Times New Roman"/>
                <w:color w:val="000000"/>
                <w:sz w:val="20"/>
                <w:szCs w:val="20"/>
              </w:rPr>
            </w:pPr>
            <w:r>
              <w:rPr>
                <w:rFonts w:ascii="Times New Roman" w:hAnsi="Times New Roman"/>
                <w:color w:val="000000"/>
                <w:sz w:val="20"/>
                <w:szCs w:val="20"/>
              </w:rPr>
              <w:t>(0.0091262)</w:t>
            </w:r>
          </w:p>
        </w:tc>
        <w:tc>
          <w:tcPr>
            <w:tcW w:w="911" w:type="pct"/>
            <w:tcBorders>
              <w:top w:val="nil"/>
              <w:left w:val="nil"/>
              <w:bottom w:val="nil"/>
            </w:tcBorders>
          </w:tcPr>
          <w:p w14:paraId="6CBDC55D">
            <w:pPr>
              <w:pStyle w:val="69"/>
              <w:spacing w:line="360" w:lineRule="auto"/>
              <w:rPr>
                <w:rFonts w:ascii="Times New Roman" w:hAnsi="Times New Roman"/>
                <w:color w:val="000000"/>
                <w:sz w:val="20"/>
                <w:szCs w:val="20"/>
              </w:rPr>
            </w:pPr>
            <w:r>
              <w:rPr>
                <w:rFonts w:ascii="Times New Roman" w:hAnsi="Times New Roman"/>
                <w:color w:val="000000"/>
                <w:sz w:val="20"/>
                <w:szCs w:val="20"/>
              </w:rPr>
              <w:t>(0.024801)</w:t>
            </w:r>
          </w:p>
        </w:tc>
      </w:tr>
      <w:tr w14:paraId="5FDA95A4">
        <w:trPr>
          <w:trHeight w:val="90" w:hRule="atLeast"/>
        </w:trPr>
        <w:tc>
          <w:tcPr>
            <w:tcW w:w="746" w:type="pct"/>
            <w:tcBorders>
              <w:top w:val="nil"/>
              <w:left w:val="nil"/>
              <w:bottom w:val="nil"/>
              <w:right w:val="nil"/>
            </w:tcBorders>
          </w:tcPr>
          <w:p w14:paraId="679EB5D5">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831" w:type="pct"/>
            <w:tcBorders>
              <w:top w:val="nil"/>
              <w:left w:val="nil"/>
              <w:bottom w:val="nil"/>
              <w:right w:val="nil"/>
            </w:tcBorders>
          </w:tcPr>
          <w:p w14:paraId="4EB2A4B7">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-1.0027</w:t>
            </w:r>
          </w:p>
        </w:tc>
        <w:tc>
          <w:tcPr>
            <w:tcW w:w="824" w:type="pct"/>
            <w:tcBorders>
              <w:top w:val="nil"/>
              <w:left w:val="nil"/>
              <w:bottom w:val="nil"/>
              <w:right w:val="nil"/>
            </w:tcBorders>
          </w:tcPr>
          <w:p w14:paraId="3665CF6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 xml:space="preserve">0.2354692  </w:t>
            </w:r>
          </w:p>
        </w:tc>
        <w:tc>
          <w:tcPr>
            <w:tcW w:w="776" w:type="pct"/>
            <w:tcBorders>
              <w:top w:val="nil"/>
              <w:left w:val="nil"/>
              <w:bottom w:val="nil"/>
              <w:right w:val="nil"/>
            </w:tcBorders>
          </w:tcPr>
          <w:p w14:paraId="7AD1A057">
            <w:pPr>
              <w:pStyle w:val="69"/>
              <w:spacing w:line="360" w:lineRule="auto"/>
              <w:rPr>
                <w:rFonts w:ascii="Times New Roman" w:hAnsi="Times New Roman"/>
                <w:color w:val="000000"/>
                <w:sz w:val="20"/>
                <w:szCs w:val="20"/>
              </w:rPr>
            </w:pPr>
            <w:r>
              <w:rPr>
                <w:rFonts w:ascii="Times New Roman" w:hAnsi="Times New Roman"/>
                <w:color w:val="000000"/>
                <w:sz w:val="20"/>
                <w:szCs w:val="20"/>
              </w:rPr>
              <w:t>0.2711593</w:t>
            </w:r>
          </w:p>
        </w:tc>
        <w:tc>
          <w:tcPr>
            <w:tcW w:w="912" w:type="pct"/>
            <w:tcBorders>
              <w:top w:val="nil"/>
              <w:left w:val="nil"/>
              <w:bottom w:val="nil"/>
              <w:right w:val="nil"/>
            </w:tcBorders>
          </w:tcPr>
          <w:p w14:paraId="57011D38">
            <w:pPr>
              <w:pStyle w:val="69"/>
              <w:spacing w:line="360" w:lineRule="auto"/>
              <w:rPr>
                <w:rFonts w:ascii="Times New Roman" w:hAnsi="Times New Roman"/>
                <w:color w:val="000000"/>
                <w:sz w:val="20"/>
                <w:szCs w:val="20"/>
              </w:rPr>
            </w:pPr>
            <w:r>
              <w:rPr>
                <w:rFonts w:ascii="Times New Roman" w:hAnsi="Times New Roman"/>
                <w:color w:val="000000"/>
                <w:sz w:val="20"/>
                <w:szCs w:val="20"/>
              </w:rPr>
              <w:t>0.2873264</w:t>
            </w:r>
          </w:p>
        </w:tc>
        <w:tc>
          <w:tcPr>
            <w:tcW w:w="911" w:type="pct"/>
            <w:tcBorders>
              <w:top w:val="nil"/>
              <w:left w:val="nil"/>
              <w:bottom w:val="nil"/>
            </w:tcBorders>
          </w:tcPr>
          <w:p w14:paraId="60CAD1AC">
            <w:pPr>
              <w:pStyle w:val="69"/>
              <w:spacing w:line="360" w:lineRule="auto"/>
              <w:rPr>
                <w:rFonts w:ascii="Times New Roman" w:hAnsi="Times New Roman"/>
                <w:color w:val="000000"/>
                <w:sz w:val="20"/>
                <w:szCs w:val="20"/>
              </w:rPr>
            </w:pPr>
            <w:r>
              <w:rPr>
                <w:rFonts w:ascii="Times New Roman" w:hAnsi="Times New Roman"/>
                <w:color w:val="000000"/>
                <w:sz w:val="20"/>
                <w:szCs w:val="20"/>
              </w:rPr>
              <w:t>1.898901</w:t>
            </w:r>
          </w:p>
        </w:tc>
      </w:tr>
      <w:tr w14:paraId="28C65CAE">
        <w:tc>
          <w:tcPr>
            <w:tcW w:w="746" w:type="pct"/>
            <w:tcBorders>
              <w:top w:val="nil"/>
              <w:left w:val="nil"/>
              <w:bottom w:val="nil"/>
              <w:right w:val="nil"/>
            </w:tcBorders>
          </w:tcPr>
          <w:p w14:paraId="5FAB8C78">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5338B3E8">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(0.8355151)</w:t>
            </w:r>
          </w:p>
        </w:tc>
        <w:tc>
          <w:tcPr>
            <w:tcW w:w="824" w:type="pct"/>
            <w:tcBorders>
              <w:top w:val="nil"/>
              <w:left w:val="nil"/>
              <w:bottom w:val="nil"/>
              <w:right w:val="nil"/>
            </w:tcBorders>
          </w:tcPr>
          <w:p w14:paraId="415A9CBB">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(0.2078553)</w:t>
            </w:r>
          </w:p>
        </w:tc>
        <w:tc>
          <w:tcPr>
            <w:tcW w:w="776" w:type="pct"/>
            <w:tcBorders>
              <w:top w:val="nil"/>
              <w:left w:val="nil"/>
              <w:bottom w:val="nil"/>
              <w:right w:val="nil"/>
            </w:tcBorders>
          </w:tcPr>
          <w:p w14:paraId="4C3B766B">
            <w:pPr>
              <w:pStyle w:val="69"/>
              <w:spacing w:line="360" w:lineRule="auto"/>
              <w:rPr>
                <w:rFonts w:ascii="Times New Roman" w:hAnsi="Times New Roman"/>
                <w:color w:val="000000"/>
                <w:sz w:val="20"/>
                <w:szCs w:val="20"/>
              </w:rPr>
            </w:pPr>
            <w:r>
              <w:rPr>
                <w:rFonts w:ascii="Times New Roman" w:hAnsi="Times New Roman"/>
                <w:color w:val="000000"/>
                <w:sz w:val="20"/>
                <w:szCs w:val="20"/>
              </w:rPr>
              <w:t>(1.03377)</w:t>
            </w:r>
          </w:p>
        </w:tc>
        <w:tc>
          <w:tcPr>
            <w:tcW w:w="912" w:type="pct"/>
            <w:tcBorders>
              <w:top w:val="nil"/>
              <w:left w:val="nil"/>
              <w:bottom w:val="nil"/>
              <w:right w:val="nil"/>
            </w:tcBorders>
          </w:tcPr>
          <w:p w14:paraId="203AC176">
            <w:pPr>
              <w:pStyle w:val="69"/>
              <w:spacing w:line="360" w:lineRule="auto"/>
              <w:rPr>
                <w:rFonts w:ascii="Times New Roman" w:hAnsi="Times New Roman"/>
                <w:color w:val="000000"/>
                <w:sz w:val="20"/>
                <w:szCs w:val="20"/>
              </w:rPr>
            </w:pPr>
            <w:r>
              <w:rPr>
                <w:rFonts w:ascii="Times New Roman" w:hAnsi="Times New Roman"/>
                <w:color w:val="000000"/>
                <w:sz w:val="20"/>
                <w:szCs w:val="20"/>
              </w:rPr>
              <w:t>(0.4601534)</w:t>
            </w:r>
          </w:p>
        </w:tc>
        <w:tc>
          <w:tcPr>
            <w:tcW w:w="911" w:type="pct"/>
            <w:tcBorders>
              <w:top w:val="nil"/>
              <w:left w:val="nil"/>
              <w:bottom w:val="nil"/>
            </w:tcBorders>
          </w:tcPr>
          <w:p w14:paraId="091C9680">
            <w:pPr>
              <w:pStyle w:val="69"/>
              <w:spacing w:line="360" w:lineRule="auto"/>
              <w:rPr>
                <w:rFonts w:ascii="Times New Roman" w:hAnsi="Times New Roman"/>
                <w:color w:val="000000"/>
                <w:sz w:val="20"/>
                <w:szCs w:val="20"/>
              </w:rPr>
            </w:pPr>
            <w:r>
              <w:rPr>
                <w:rFonts w:ascii="Times New Roman" w:hAnsi="Times New Roman"/>
                <w:color w:val="000000"/>
                <w:sz w:val="20"/>
                <w:szCs w:val="20"/>
              </w:rPr>
              <w:t>(1.338886)</w:t>
            </w:r>
          </w:p>
        </w:tc>
      </w:tr>
      <w:tr w14:paraId="0A227A4D">
        <w:tc>
          <w:tcPr>
            <w:tcW w:w="746" w:type="pct"/>
            <w:tcBorders>
              <w:top w:val="nil"/>
              <w:left w:val="nil"/>
              <w:bottom w:val="nil"/>
              <w:right w:val="nil"/>
            </w:tcBorders>
          </w:tcPr>
          <w:p w14:paraId="5CDE512E">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831" w:type="pct"/>
            <w:tcBorders>
              <w:top w:val="nil"/>
              <w:left w:val="nil"/>
              <w:bottom w:val="nil"/>
              <w:right w:val="nil"/>
            </w:tcBorders>
          </w:tcPr>
          <w:p w14:paraId="57DD46F9">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3.997892</w:t>
            </w:r>
          </w:p>
        </w:tc>
        <w:tc>
          <w:tcPr>
            <w:tcW w:w="824" w:type="pct"/>
            <w:tcBorders>
              <w:top w:val="nil"/>
              <w:left w:val="nil"/>
              <w:bottom w:val="nil"/>
              <w:right w:val="nil"/>
            </w:tcBorders>
          </w:tcPr>
          <w:p w14:paraId="5EF8A28F">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2.286309</w:t>
            </w:r>
          </w:p>
        </w:tc>
        <w:tc>
          <w:tcPr>
            <w:tcW w:w="776" w:type="pct"/>
            <w:tcBorders>
              <w:top w:val="nil"/>
              <w:left w:val="nil"/>
              <w:bottom w:val="nil"/>
              <w:right w:val="nil"/>
            </w:tcBorders>
          </w:tcPr>
          <w:p w14:paraId="03813B91">
            <w:pPr>
              <w:pStyle w:val="69"/>
              <w:spacing w:line="360" w:lineRule="auto"/>
              <w:rPr>
                <w:rFonts w:ascii="Times New Roman" w:hAnsi="Times New Roman"/>
                <w:color w:val="000000"/>
                <w:sz w:val="20"/>
                <w:szCs w:val="20"/>
              </w:rPr>
            </w:pPr>
            <w:r>
              <w:rPr>
                <w:rFonts w:ascii="Times New Roman" w:hAnsi="Times New Roman"/>
                <w:color w:val="000000"/>
                <w:sz w:val="20"/>
                <w:szCs w:val="20"/>
              </w:rPr>
              <w:t>-5.076279</w:t>
            </w:r>
          </w:p>
        </w:tc>
        <w:tc>
          <w:tcPr>
            <w:tcW w:w="912" w:type="pct"/>
            <w:tcBorders>
              <w:top w:val="nil"/>
              <w:left w:val="nil"/>
              <w:bottom w:val="nil"/>
              <w:right w:val="nil"/>
            </w:tcBorders>
          </w:tcPr>
          <w:p w14:paraId="0FD6E792">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0.5826757  </w:t>
            </w:r>
          </w:p>
        </w:tc>
        <w:tc>
          <w:tcPr>
            <w:tcW w:w="911" w:type="pct"/>
            <w:tcBorders>
              <w:top w:val="nil"/>
              <w:left w:val="nil"/>
              <w:bottom w:val="nil"/>
            </w:tcBorders>
          </w:tcPr>
          <w:p w14:paraId="427E80DD">
            <w:pPr>
              <w:pStyle w:val="69"/>
              <w:spacing w:line="360" w:lineRule="auto"/>
              <w:rPr>
                <w:rFonts w:ascii="Times New Roman" w:hAnsi="Times New Roman"/>
                <w:color w:val="000000"/>
                <w:sz w:val="20"/>
                <w:szCs w:val="20"/>
              </w:rPr>
            </w:pPr>
            <w:r>
              <w:rPr>
                <w:rFonts w:ascii="Times New Roman" w:hAnsi="Times New Roman"/>
                <w:color w:val="000000"/>
                <w:sz w:val="20"/>
                <w:szCs w:val="20"/>
              </w:rPr>
              <w:t>0.8211851</w:t>
            </w:r>
          </w:p>
        </w:tc>
      </w:tr>
      <w:tr w14:paraId="05E8CF02">
        <w:trPr>
          <w:trHeight w:val="411" w:hRule="atLeast"/>
        </w:trPr>
        <w:tc>
          <w:tcPr>
            <w:tcW w:w="746" w:type="pct"/>
            <w:tcBorders>
              <w:top w:val="nil"/>
              <w:left w:val="nil"/>
              <w:bottom w:val="single" w:color="auto" w:sz="4" w:space="0"/>
              <w:right w:val="nil"/>
            </w:tcBorders>
          </w:tcPr>
          <w:p w14:paraId="67BA918B">
            <w:pPr>
              <w:pStyle w:val="69"/>
              <w:spacing w:line="360" w:lineRule="auto"/>
              <w:rPr>
                <w:rFonts w:ascii="Times New Roman" w:hAnsi="Times New Roman"/>
                <w:color w:val="000000"/>
                <w:sz w:val="20"/>
                <w:szCs w:val="20"/>
              </w:rPr>
            </w:pPr>
          </w:p>
        </w:tc>
        <w:tc>
          <w:tcPr>
            <w:tcW w:w="831" w:type="pct"/>
            <w:tcBorders>
              <w:top w:val="nil"/>
              <w:left w:val="nil"/>
              <w:bottom w:val="single" w:color="auto" w:sz="4" w:space="0"/>
              <w:right w:val="nil"/>
            </w:tcBorders>
          </w:tcPr>
          <w:p w14:paraId="7B6E7CD3">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(3.936018)</w:t>
            </w:r>
          </w:p>
        </w:tc>
        <w:tc>
          <w:tcPr>
            <w:tcW w:w="824" w:type="pct"/>
            <w:tcBorders>
              <w:top w:val="nil"/>
              <w:left w:val="nil"/>
              <w:bottom w:val="single" w:color="auto" w:sz="4" w:space="0"/>
              <w:right w:val="nil"/>
            </w:tcBorders>
          </w:tcPr>
          <w:p w14:paraId="58B7AA1B">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(1.577675)</w:t>
            </w:r>
          </w:p>
        </w:tc>
        <w:tc>
          <w:tcPr>
            <w:tcW w:w="776" w:type="pct"/>
            <w:tcBorders>
              <w:top w:val="nil"/>
              <w:left w:val="nil"/>
              <w:bottom w:val="single" w:color="auto" w:sz="4" w:space="0"/>
              <w:right w:val="nil"/>
            </w:tcBorders>
          </w:tcPr>
          <w:p w14:paraId="1905A69A">
            <w:pPr>
              <w:pStyle w:val="69"/>
              <w:spacing w:line="360" w:lineRule="auto"/>
              <w:rPr>
                <w:rFonts w:ascii="Times New Roman" w:hAnsi="Times New Roman"/>
                <w:color w:val="000000"/>
                <w:sz w:val="20"/>
                <w:szCs w:val="20"/>
              </w:rPr>
            </w:pPr>
            <w:r>
              <w:rPr>
                <w:rFonts w:ascii="Times New Roman" w:hAnsi="Times New Roman"/>
                <w:color w:val="000000"/>
                <w:sz w:val="20"/>
                <w:szCs w:val="20"/>
              </w:rPr>
              <w:t>(6.454777)</w:t>
            </w:r>
          </w:p>
        </w:tc>
        <w:tc>
          <w:tcPr>
            <w:tcW w:w="912" w:type="pct"/>
            <w:tcBorders>
              <w:top w:val="nil"/>
              <w:left w:val="nil"/>
              <w:bottom w:val="single" w:color="auto" w:sz="4" w:space="0"/>
              <w:right w:val="nil"/>
            </w:tcBorders>
          </w:tcPr>
          <w:p w14:paraId="08D51ECA">
            <w:pPr>
              <w:pStyle w:val="69"/>
              <w:spacing w:line="360" w:lineRule="auto"/>
              <w:rPr>
                <w:rFonts w:ascii="Times New Roman" w:hAnsi="Times New Roman"/>
                <w:color w:val="000000"/>
                <w:sz w:val="20"/>
                <w:szCs w:val="20"/>
              </w:rPr>
            </w:pPr>
            <w:r>
              <w:rPr>
                <w:rFonts w:ascii="Times New Roman" w:hAnsi="Times New Roman"/>
                <w:color w:val="000000"/>
                <w:sz w:val="20"/>
                <w:szCs w:val="20"/>
              </w:rPr>
              <w:t>(2.413118)</w:t>
            </w:r>
          </w:p>
        </w:tc>
        <w:tc>
          <w:tcPr>
            <w:tcW w:w="911" w:type="pct"/>
            <w:tcBorders>
              <w:top w:val="nil"/>
              <w:left w:val="nil"/>
              <w:bottom w:val="single" w:color="auto" w:sz="4" w:space="0"/>
            </w:tcBorders>
          </w:tcPr>
          <w:p w14:paraId="730AF1BD">
            <w:pPr>
              <w:pStyle w:val="69"/>
              <w:spacing w:line="360" w:lineRule="auto"/>
              <w:rPr>
                <w:rFonts w:ascii="Times New Roman" w:hAnsi="Times New Roman"/>
                <w:color w:val="000000"/>
                <w:sz w:val="20"/>
                <w:szCs w:val="20"/>
              </w:rPr>
            </w:pPr>
            <w:r>
              <w:rPr>
                <w:rFonts w:ascii="Times New Roman" w:hAnsi="Times New Roman"/>
                <w:color w:val="000000"/>
                <w:sz w:val="20"/>
                <w:szCs w:val="20"/>
              </w:rPr>
              <w:t>(3.213735)</w:t>
            </w:r>
          </w:p>
        </w:tc>
      </w:tr>
      <w:tr w14:paraId="0DDBA1C9">
        <w:trPr>
          <w:trHeight w:val="411" w:hRule="atLeast"/>
        </w:trPr>
        <w:tc>
          <w:tcPr>
            <w:tcW w:w="746" w:type="pct"/>
            <w:tcBorders>
              <w:top w:val="single" w:color="auto" w:sz="4" w:space="0"/>
              <w:left w:val="nil"/>
              <w:bottom w:val="nil"/>
              <w:right w:val="nil"/>
            </w:tcBorders>
          </w:tcPr>
          <w:p w14:paraId="4F5A300E">
            <w:pPr>
              <w:pStyle w:val="69"/>
              <w:autoSpaceDE w:val="0"/>
              <w:spacing w:line="360" w:lineRule="auto"/>
              <w:rPr>
                <w:rFonts w:ascii="Times New Roman" w:hAnsi="Times New Roman"/>
                <w:color w:val="000000"/>
                <w:sz w:val="20"/>
                <w:szCs w:val="20"/>
              </w:rPr>
            </w:pPr>
            <m:oMathPara>
              <m:oMathParaPr>
                <m:jc m:val="left"/>
              </m:oMathParaPr>
              <m:oMath>
                <m:sSup>
                  <m:sSupPr>
                    <m:ctrlPr>
                      <w:rPr>
                        <w:rFonts w:ascii="Cambria Math" w:hAnsi="Cambria Math"/>
                        <w:i/>
                        <w:color w:val="000000"/>
                        <w:sz w:val="20"/>
                        <w:szCs w:val="20"/>
                      </w:rPr>
                    </m:ctrlPr>
                  </m:sSupPr>
                  <m:e>
                    <m:r>
                      <m:rPr/>
                      <w:rPr>
                        <w:rFonts w:ascii="Cambria Math" w:hAnsi="Cambria Math"/>
                        <w:color w:val="000000"/>
                        <w:sz w:val="20"/>
                        <w:szCs w:val="20"/>
                      </w:rPr>
                      <m:t>R</m:t>
                    </m:r>
                    <m:ctrlPr>
                      <w:rPr>
                        <w:rFonts w:ascii="Cambria Math" w:hAnsi="Cambria Math"/>
                        <w:i/>
                        <w:color w:val="000000"/>
                        <w:sz w:val="20"/>
                        <w:szCs w:val="20"/>
                      </w:rPr>
                    </m:ctrlPr>
                  </m:e>
                  <m:sup>
                    <m:r>
                      <m:rPr/>
                      <w:rPr>
                        <w:rFonts w:ascii="Cambria Math" w:hAnsi="Cambria Math"/>
                        <w:color w:val="000000"/>
                        <w:sz w:val="20"/>
                        <w:szCs w:val="20"/>
                      </w:rPr>
                      <m:t>2</m:t>
                    </m:r>
                    <m:ctrlPr>
                      <w:rPr>
                        <w:rFonts w:ascii="Cambria Math" w:hAnsi="Cambria Math"/>
                        <w:i/>
                        <w:color w:val="000000"/>
                        <w:sz w:val="20"/>
                        <w:szCs w:val="20"/>
                      </w:rPr>
                    </m:ctrlPr>
                  </m:sup>
                </m:sSup>
              </m:oMath>
            </m:oMathPara>
          </w:p>
        </w:tc>
        <w:tc>
          <w:tcPr>
            <w:tcW w:w="831" w:type="pct"/>
            <w:tcBorders>
              <w:top w:val="single" w:color="auto" w:sz="4" w:space="0"/>
              <w:left w:val="nil"/>
              <w:bottom w:val="nil"/>
              <w:right w:val="nil"/>
            </w:tcBorders>
          </w:tcPr>
          <w:p w14:paraId="51F268FE">
            <w:pPr>
              <w:pStyle w:val="69"/>
              <w:spacing w:line="360" w:lineRule="auto"/>
              <w:rPr>
                <w:rFonts w:ascii="Times New Roman" w:hAnsi="Times New Roman"/>
                <w:color w:val="000000"/>
                <w:sz w:val="20"/>
                <w:szCs w:val="20"/>
              </w:rPr>
            </w:pPr>
            <w:r>
              <w:rPr>
                <w:rFonts w:ascii="Times New Roman" w:hAnsi="Times New Roman"/>
                <w:color w:val="000000"/>
                <w:sz w:val="20"/>
                <w:szCs w:val="20"/>
              </w:rPr>
              <w:t>0.4838</w:t>
            </w:r>
          </w:p>
        </w:tc>
        <w:tc>
          <w:tcPr>
            <w:tcW w:w="824" w:type="pct"/>
            <w:tcBorders>
              <w:top w:val="single" w:color="auto" w:sz="4" w:space="0"/>
              <w:left w:val="nil"/>
              <w:bottom w:val="nil"/>
              <w:right w:val="nil"/>
            </w:tcBorders>
          </w:tcPr>
          <w:p w14:paraId="5BB2C54B">
            <w:pPr>
              <w:pStyle w:val="69"/>
              <w:spacing w:line="360" w:lineRule="auto"/>
              <w:rPr>
                <w:rFonts w:ascii="Times New Roman" w:hAnsi="Times New Roman"/>
                <w:color w:val="000000"/>
                <w:sz w:val="20"/>
                <w:szCs w:val="20"/>
              </w:rPr>
            </w:pPr>
            <w:r>
              <w:rPr>
                <w:rFonts w:ascii="Times New Roman" w:hAnsi="Times New Roman"/>
                <w:color w:val="000000"/>
                <w:sz w:val="20"/>
                <w:szCs w:val="20"/>
              </w:rPr>
              <w:t>0.3214</w:t>
            </w:r>
          </w:p>
        </w:tc>
        <w:tc>
          <w:tcPr>
            <w:tcW w:w="776" w:type="pct"/>
            <w:tcBorders>
              <w:top w:val="single" w:color="auto" w:sz="4" w:space="0"/>
              <w:left w:val="nil"/>
              <w:bottom w:val="nil"/>
              <w:right w:val="nil"/>
            </w:tcBorders>
          </w:tcPr>
          <w:p w14:paraId="7447B319">
            <w:pPr>
              <w:pStyle w:val="69"/>
              <w:spacing w:line="360" w:lineRule="auto"/>
              <w:rPr>
                <w:rFonts w:ascii="Times New Roman" w:hAnsi="Times New Roman"/>
                <w:color w:val="000000"/>
                <w:sz w:val="20"/>
                <w:szCs w:val="20"/>
              </w:rPr>
            </w:pPr>
            <w:r>
              <w:rPr>
                <w:rFonts w:ascii="Times New Roman" w:hAnsi="Times New Roman"/>
                <w:color w:val="000000"/>
                <w:sz w:val="20"/>
                <w:szCs w:val="20"/>
              </w:rPr>
              <w:t>0.7203</w:t>
            </w:r>
          </w:p>
        </w:tc>
        <w:tc>
          <w:tcPr>
            <w:tcW w:w="912" w:type="pct"/>
            <w:tcBorders>
              <w:top w:val="single" w:color="auto" w:sz="4" w:space="0"/>
              <w:left w:val="nil"/>
              <w:bottom w:val="nil"/>
              <w:right w:val="nil"/>
            </w:tcBorders>
          </w:tcPr>
          <w:p w14:paraId="7DAEB2A6">
            <w:pPr>
              <w:pStyle w:val="69"/>
              <w:spacing w:line="360" w:lineRule="auto"/>
              <w:rPr>
                <w:rFonts w:ascii="Times New Roman" w:hAnsi="Times New Roman"/>
                <w:color w:val="000000"/>
                <w:sz w:val="20"/>
                <w:szCs w:val="20"/>
              </w:rPr>
            </w:pPr>
            <w:r>
              <w:rPr>
                <w:rFonts w:ascii="Times New Roman" w:hAnsi="Times New Roman"/>
                <w:color w:val="000000"/>
                <w:sz w:val="20"/>
                <w:szCs w:val="20"/>
              </w:rPr>
              <w:t>0.2095</w:t>
            </w:r>
          </w:p>
        </w:tc>
        <w:tc>
          <w:tcPr>
            <w:tcW w:w="911" w:type="pct"/>
            <w:tcBorders>
              <w:top w:val="single" w:color="auto" w:sz="4" w:space="0"/>
              <w:left w:val="nil"/>
              <w:bottom w:val="nil"/>
            </w:tcBorders>
          </w:tcPr>
          <w:p w14:paraId="32089227">
            <w:pPr>
              <w:pStyle w:val="69"/>
              <w:spacing w:line="360" w:lineRule="auto"/>
              <w:rPr>
                <w:rFonts w:ascii="Times New Roman" w:hAnsi="Times New Roman"/>
                <w:color w:val="000000"/>
                <w:sz w:val="20"/>
                <w:szCs w:val="20"/>
              </w:rPr>
            </w:pPr>
            <w:r>
              <w:rPr>
                <w:rFonts w:ascii="Times New Roman" w:hAnsi="Times New Roman"/>
                <w:color w:val="000000"/>
                <w:sz w:val="20"/>
                <w:szCs w:val="20"/>
              </w:rPr>
              <w:t>0.2095</w:t>
            </w:r>
          </w:p>
        </w:tc>
      </w:tr>
      <w:tr w14:paraId="7F8CCC7B">
        <w:trPr>
          <w:trHeight w:val="411" w:hRule="atLeast"/>
        </w:trPr>
        <w:tc>
          <w:tcPr>
            <w:tcW w:w="746" w:type="pct"/>
            <w:tcBorders>
              <w:top w:val="single" w:color="auto" w:sz="4" w:space="0"/>
              <w:left w:val="nil"/>
              <w:bottom w:val="nil"/>
              <w:right w:val="nil"/>
            </w:tcBorders>
          </w:tcPr>
          <w:p w14:paraId="3DDA57AA">
            <w:pPr>
              <w:pStyle w:val="69"/>
              <w:autoSpaceDE w:val="0"/>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831" w:type="pct"/>
            <w:tcBorders>
              <w:top w:val="single" w:color="auto" w:sz="4" w:space="0"/>
              <w:left w:val="nil"/>
              <w:bottom w:val="nil"/>
              <w:right w:val="nil"/>
            </w:tcBorders>
          </w:tcPr>
          <w:p w14:paraId="7C61DEB5">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24" w:type="pct"/>
            <w:tcBorders>
              <w:top w:val="single" w:color="auto" w:sz="4" w:space="0"/>
              <w:left w:val="nil"/>
              <w:bottom w:val="nil"/>
              <w:right w:val="nil"/>
            </w:tcBorders>
          </w:tcPr>
          <w:p w14:paraId="51A9D0AC">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776" w:type="pct"/>
            <w:tcBorders>
              <w:top w:val="single" w:color="auto" w:sz="4" w:space="0"/>
              <w:left w:val="nil"/>
              <w:bottom w:val="nil"/>
              <w:right w:val="nil"/>
            </w:tcBorders>
          </w:tcPr>
          <w:p w14:paraId="7AB7272E">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12" w:type="pct"/>
            <w:tcBorders>
              <w:top w:val="single" w:color="auto" w:sz="4" w:space="0"/>
              <w:left w:val="nil"/>
              <w:bottom w:val="nil"/>
              <w:right w:val="nil"/>
            </w:tcBorders>
          </w:tcPr>
          <w:p w14:paraId="5F67019A">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11" w:type="pct"/>
            <w:tcBorders>
              <w:top w:val="single" w:color="auto" w:sz="4" w:space="0"/>
              <w:left w:val="nil"/>
              <w:bottom w:val="nil"/>
            </w:tcBorders>
          </w:tcPr>
          <w:p w14:paraId="0DB54E62">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34DABE1D">
        <w:trPr>
          <w:trHeight w:val="411" w:hRule="atLeast"/>
        </w:trPr>
        <w:tc>
          <w:tcPr>
            <w:tcW w:w="746" w:type="pct"/>
            <w:tcBorders>
              <w:top w:val="nil"/>
              <w:left w:val="nil"/>
              <w:bottom w:val="single" w:color="000000" w:sz="4" w:space="0"/>
              <w:right w:val="nil"/>
            </w:tcBorders>
          </w:tcPr>
          <w:p w14:paraId="578D8471">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831" w:type="pct"/>
            <w:tcBorders>
              <w:top w:val="nil"/>
              <w:left w:val="nil"/>
              <w:bottom w:val="single" w:color="000000" w:sz="4" w:space="0"/>
              <w:right w:val="nil"/>
            </w:tcBorders>
          </w:tcPr>
          <w:p w14:paraId="6B1EC355">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24" w:type="pct"/>
            <w:tcBorders>
              <w:top w:val="nil"/>
              <w:left w:val="nil"/>
              <w:bottom w:val="single" w:color="000000" w:sz="4" w:space="0"/>
              <w:right w:val="nil"/>
            </w:tcBorders>
          </w:tcPr>
          <w:p w14:paraId="16387D61">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776" w:type="pct"/>
            <w:tcBorders>
              <w:top w:val="nil"/>
              <w:left w:val="nil"/>
              <w:bottom w:val="single" w:color="000000" w:sz="4" w:space="0"/>
              <w:right w:val="nil"/>
            </w:tcBorders>
          </w:tcPr>
          <w:p w14:paraId="102EC27D">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12" w:type="pct"/>
            <w:tcBorders>
              <w:top w:val="nil"/>
              <w:left w:val="nil"/>
              <w:bottom w:val="single" w:color="000000" w:sz="4" w:space="0"/>
              <w:right w:val="nil"/>
            </w:tcBorders>
          </w:tcPr>
          <w:p w14:paraId="6CE7FD7D">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11" w:type="pct"/>
            <w:tcBorders>
              <w:top w:val="nil"/>
              <w:left w:val="nil"/>
              <w:bottom w:val="single" w:color="000000" w:sz="4" w:space="0"/>
            </w:tcBorders>
          </w:tcPr>
          <w:p w14:paraId="1AF49A93">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tbl>
    <w:p w14:paraId="3A6F0BE2">
      <w:pPr>
        <w:keepNext w:val="0"/>
        <w:keepLines w:val="0"/>
        <w:pageBreakBefore w:val="0"/>
        <w:widowControl w:val="0"/>
        <w:kinsoku/>
        <w:wordWrap/>
        <w:overflowPunct/>
        <w:topLinePunct w:val="0"/>
        <w:autoSpaceDE/>
        <w:autoSpaceDN/>
        <w:bidi w:val="0"/>
        <w:adjustRightInd/>
        <w:snapToGrid/>
        <w:spacing w:before="313" w:beforeLines="100" w:after="468" w:afterLines="150"/>
        <w:textAlignment w:val="auto"/>
        <w:rPr>
          <w:rFonts w:cs="Times New Roman"/>
        </w:rPr>
      </w:pPr>
      <w:bookmarkStart w:id="116" w:name="OLE_LINK127"/>
      <w:r>
        <w:rPr>
          <w:rFonts w:hint="eastAsia" w:cs="Times New Roman"/>
          <w:color w:val="000000"/>
        </w:rPr>
        <w:t>In Model 3, typhoon intensity (TEI_agri) and capital formation (GCF) are included in the same equation to test whether GCF constitutes the transmission mechanism of typhoon impact on macro performance. Combining the total effect of Model 1 with the result that TEI_agri significantly reduces GCF in Model 2, Model 3 provides more direct evidence of the mediating path. First of all, in the equation of agricultural output, GCF has a significantly negative effect on agricultural output (−0.4306***), and the coefficient of TEI_agri turns insignificant after GCF is included, indicating that the impact of typhoon on agricultural output is mainly through indirect transmission of capital formation rather than direct effect. This result may reflect the bias of investment allocation towards non-agricultural sectors among industries and the impact of resource reallocation on agricultural recovery after disasters. Secondly, in the inflation equation, TEI_agri has a significantly positive effect on inflation (p&lt;0.05), while GCF has a significantly negative effect (−0.4187**), indicating that there is a dual mechanism of "direct shock (supply chain/logistics disturbance) + indirect shock (suppression of capital formation → limited supply capacity)" in inflation. In contrast, TEI_agri is still significantly positive in the GDP equation, while GCF is not significant, suggesting that the growth effect is more likely to come from short-term reconstruction and fiscal expenditure rather than capital formation transmission. The unemployment rate and FDI are still insignificant after the inclusion of GCF, which is consistent with Model 1, indicating that they lack a stable overall response to typhoon shocks. In general, Model 3 shows that GCF mainly plays a key intermediary role in the dimensions of agricultural output and inflation, but does not form a clear investment transmission structure on GDP, unemployment and FDI</w:t>
      </w:r>
      <w:r>
        <w:rPr>
          <w:rFonts w:cs="Times New Roman"/>
          <w:color w:val="000000"/>
        </w:rPr>
        <w:t>.</w:t>
      </w:r>
      <w:bookmarkEnd w:id="116"/>
    </w:p>
    <w:p w14:paraId="5127BD89">
      <w:pPr>
        <w:pStyle w:val="3"/>
        <w:numPr>
          <w:ilvl w:val="1"/>
          <w:numId w:val="0"/>
        </w:numPr>
        <w:ind w:leftChars="0"/>
      </w:pPr>
      <w:bookmarkStart w:id="117" w:name="_Toc216969539"/>
      <w:bookmarkStart w:id="118" w:name="_Toc202552662"/>
      <w:bookmarkStart w:id="119" w:name="_Toc1802"/>
      <w:bookmarkStart w:id="120" w:name="_Toc212728561"/>
      <w:bookmarkStart w:id="121" w:name="_Toc201079597"/>
      <w:r>
        <w:t>Robustness Analyses</w:t>
      </w:r>
      <w:bookmarkEnd w:id="117"/>
      <w:bookmarkEnd w:id="118"/>
      <w:bookmarkEnd w:id="119"/>
      <w:bookmarkEnd w:id="120"/>
      <w:bookmarkEnd w:id="121"/>
    </w:p>
    <w:p w14:paraId="6CD19B00">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To verify the stability of the baseline results, three robustness checks are conducted: (i) replacing contemporaneous typhoon intensity with its one-period lag (TEI_agri L1), (ii) winsorizing TEI_agri at the 1% and 99% levels, and (iii) estimating quantile fixed-effects regressions at τ = 0.25 and τ = 0.75.</w:t>
      </w:r>
    </w:p>
    <w:p w14:paraId="1A59F7B4">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First, when TEI_agri L1 is used, the main findings remain broadly consistent. The effects on GDP growth, agricultural output, and inflation are weaker and mainly contemporaneous, while the coefficients for unemployment and FDI remain insignificant. Importantly, the negative impact of typhoon intensity on GCF persists, and the mediation structure in Model 3 remains qualitatively unchanged.</w:t>
      </w:r>
    </w:p>
    <w:p w14:paraId="013B6C03">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Second, after winsorizing extreme values, the estimated coefficients of TEI_agri on GDP, agricultural output, and inflation remain positive and significant, and its negative effect on GCF remains stable in both magnitude and significance. The results for unemployment and FDI are unaffected.</w:t>
      </w:r>
    </w:p>
    <w:p w14:paraId="33ECB7BE">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Third, quantile regressions confirm that the direction of the coefficients is consistent across the conditional distribution. The positive effects on GDP, agricultural output, and inflation remain significant at both lower and upper quantiles, while the inhibitory effect on capital formation is generally preserved.</w:t>
      </w:r>
    </w:p>
    <w:p w14:paraId="48424687">
      <w:pPr>
        <w:pStyle w:val="22"/>
        <w:keepNext w:val="0"/>
        <w:keepLines w:val="0"/>
        <w:widowControl/>
        <w:suppressLineNumbers w:val="0"/>
        <w:spacing w:beforeAutospacing="1" w:afterAutospacing="1"/>
        <w:ind w:left="0" w:firstLine="0"/>
        <w:rPr>
          <w:i w:val="0"/>
          <w:iCs w:val="0"/>
          <w:caps w:val="0"/>
          <w:color w:val="000000"/>
          <w:spacing w:val="0"/>
          <w:u w:val="none"/>
        </w:rPr>
      </w:pPr>
      <w:r>
        <w:rPr>
          <w:i w:val="0"/>
          <w:iCs w:val="0"/>
          <w:caps w:val="0"/>
          <w:color w:val="000000"/>
          <w:spacing w:val="0"/>
          <w:u w:val="none"/>
        </w:rPr>
        <w:t>Overall, the robustness tests confirm that the baseline results are stable across alternative specifications, outlier treatments, and distributional settings.</w:t>
      </w:r>
    </w:p>
    <w:p w14:paraId="45B417FD"/>
    <w:p w14:paraId="7E771C4C">
      <w:pPr>
        <w:pStyle w:val="7"/>
      </w:pPr>
      <w:bookmarkStart w:id="122" w:name="_Toc216867797"/>
      <w:r>
        <w:t xml:space="preserve">Table </w:t>
      </w:r>
      <w:r>
        <w:rPr>
          <w:rFonts w:hint="eastAsia" w:eastAsia="宋体"/>
          <w:lang w:val="en-US" w:eastAsia="zh-CN"/>
        </w:rPr>
        <w:t>8</w:t>
      </w:r>
      <w:r>
        <w:t xml:space="preserve"> Robustness Check with TEI_agri L1 (Model 1)</w:t>
      </w:r>
      <w:bookmarkEnd w:id="122"/>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1233"/>
        <w:gridCol w:w="1232"/>
        <w:gridCol w:w="1498"/>
        <w:gridCol w:w="1549"/>
        <w:gridCol w:w="1547"/>
      </w:tblGrid>
      <w:tr w14:paraId="46EF7071">
        <w:tc>
          <w:tcPr>
            <w:tcW w:w="816" w:type="pct"/>
            <w:tcBorders>
              <w:top w:val="single" w:color="auto" w:sz="4" w:space="0"/>
              <w:left w:val="nil"/>
              <w:bottom w:val="nil"/>
              <w:right w:val="nil"/>
            </w:tcBorders>
          </w:tcPr>
          <w:p w14:paraId="3A859DD3">
            <w:pPr>
              <w:pStyle w:val="69"/>
              <w:spacing w:line="360" w:lineRule="auto"/>
              <w:rPr>
                <w:rFonts w:ascii="Times New Roman" w:hAnsi="Times New Roman"/>
                <w:color w:val="000000"/>
                <w:sz w:val="20"/>
                <w:szCs w:val="20"/>
              </w:rPr>
            </w:pPr>
            <w:r>
              <w:rPr>
                <w:rFonts w:ascii="Times New Roman" w:hAnsi="Times New Roman"/>
                <w:color w:val="000000"/>
                <w:sz w:val="20"/>
                <w:szCs w:val="20"/>
              </w:rPr>
              <w:t>Dependent variable</w:t>
            </w:r>
          </w:p>
        </w:tc>
        <w:tc>
          <w:tcPr>
            <w:tcW w:w="731" w:type="pct"/>
            <w:tcBorders>
              <w:top w:val="single" w:color="auto" w:sz="4" w:space="0"/>
              <w:left w:val="nil"/>
              <w:bottom w:val="single" w:color="auto" w:sz="4" w:space="0"/>
              <w:right w:val="nil"/>
            </w:tcBorders>
            <w:vAlign w:val="center"/>
          </w:tcPr>
          <w:p w14:paraId="3304780D">
            <w:pPr>
              <w:pStyle w:val="69"/>
              <w:spacing w:line="360" w:lineRule="auto"/>
              <w:rPr>
                <w:rFonts w:ascii="Times New Roman" w:hAnsi="Times New Roman"/>
                <w:color w:val="000000"/>
                <w:sz w:val="20"/>
                <w:szCs w:val="20"/>
              </w:rPr>
            </w:pPr>
            <w:r>
              <w:rPr>
                <w:rFonts w:ascii="Times New Roman" w:hAnsi="Times New Roman"/>
                <w:color w:val="000000"/>
                <w:sz w:val="20"/>
                <w:szCs w:val="20"/>
              </w:rPr>
              <w:t>(1) GDP</w:t>
            </w:r>
          </w:p>
        </w:tc>
        <w:tc>
          <w:tcPr>
            <w:tcW w:w="730" w:type="pct"/>
            <w:tcBorders>
              <w:top w:val="single" w:color="auto" w:sz="4" w:space="0"/>
              <w:left w:val="nil"/>
              <w:bottom w:val="single" w:color="auto" w:sz="4" w:space="0"/>
              <w:right w:val="nil"/>
            </w:tcBorders>
            <w:vAlign w:val="center"/>
          </w:tcPr>
          <w:p w14:paraId="4D7E60BD">
            <w:pPr>
              <w:pStyle w:val="69"/>
              <w:spacing w:line="360" w:lineRule="auto"/>
              <w:rPr>
                <w:rFonts w:ascii="Times New Roman" w:hAnsi="Times New Roman"/>
                <w:color w:val="000000"/>
                <w:sz w:val="20"/>
                <w:szCs w:val="20"/>
              </w:rPr>
            </w:pPr>
            <w:r>
              <w:rPr>
                <w:rFonts w:ascii="Times New Roman" w:hAnsi="Times New Roman"/>
                <w:color w:val="000000"/>
                <w:sz w:val="20"/>
                <w:szCs w:val="20"/>
              </w:rPr>
              <w:t>(2) UE</w:t>
            </w:r>
          </w:p>
        </w:tc>
        <w:tc>
          <w:tcPr>
            <w:tcW w:w="888" w:type="pct"/>
            <w:tcBorders>
              <w:top w:val="single" w:color="auto" w:sz="4" w:space="0"/>
              <w:left w:val="nil"/>
              <w:bottom w:val="single" w:color="auto" w:sz="4" w:space="0"/>
              <w:right w:val="nil"/>
            </w:tcBorders>
            <w:vAlign w:val="center"/>
          </w:tcPr>
          <w:p w14:paraId="04522095">
            <w:pPr>
              <w:pStyle w:val="69"/>
              <w:spacing w:line="360" w:lineRule="auto"/>
              <w:rPr>
                <w:rFonts w:ascii="Times New Roman" w:hAnsi="Times New Roman"/>
                <w:color w:val="000000"/>
                <w:sz w:val="20"/>
                <w:szCs w:val="20"/>
              </w:rPr>
            </w:pPr>
            <w:r>
              <w:rPr>
                <w:rFonts w:ascii="Times New Roman" w:hAnsi="Times New Roman"/>
                <w:color w:val="000000"/>
                <w:sz w:val="20"/>
                <w:szCs w:val="20"/>
              </w:rPr>
              <w:t>(3) AR</w:t>
            </w:r>
          </w:p>
        </w:tc>
        <w:tc>
          <w:tcPr>
            <w:tcW w:w="918" w:type="pct"/>
            <w:tcBorders>
              <w:top w:val="single" w:color="auto" w:sz="4" w:space="0"/>
              <w:left w:val="nil"/>
              <w:bottom w:val="single" w:color="auto" w:sz="4" w:space="0"/>
              <w:right w:val="nil"/>
            </w:tcBorders>
            <w:vAlign w:val="center"/>
          </w:tcPr>
          <w:p w14:paraId="5DB8B983">
            <w:pPr>
              <w:pStyle w:val="69"/>
              <w:spacing w:line="360" w:lineRule="auto"/>
              <w:rPr>
                <w:rFonts w:ascii="Times New Roman" w:hAnsi="Times New Roman"/>
                <w:color w:val="000000"/>
                <w:sz w:val="20"/>
                <w:szCs w:val="20"/>
              </w:rPr>
            </w:pPr>
            <w:r>
              <w:rPr>
                <w:rFonts w:ascii="Times New Roman" w:hAnsi="Times New Roman"/>
                <w:color w:val="000000"/>
                <w:sz w:val="20"/>
                <w:szCs w:val="20"/>
              </w:rPr>
              <w:t>(4) FDI</w:t>
            </w:r>
          </w:p>
        </w:tc>
        <w:tc>
          <w:tcPr>
            <w:tcW w:w="917" w:type="pct"/>
            <w:tcBorders>
              <w:top w:val="single" w:color="auto" w:sz="4" w:space="0"/>
              <w:left w:val="nil"/>
              <w:bottom w:val="single" w:color="auto" w:sz="4" w:space="0"/>
              <w:right w:val="nil"/>
            </w:tcBorders>
            <w:vAlign w:val="center"/>
          </w:tcPr>
          <w:p w14:paraId="12B1B813">
            <w:pPr>
              <w:pStyle w:val="69"/>
              <w:spacing w:line="360" w:lineRule="auto"/>
              <w:rPr>
                <w:rFonts w:ascii="Times New Roman" w:hAnsi="Times New Roman"/>
                <w:color w:val="000000"/>
                <w:sz w:val="20"/>
                <w:szCs w:val="20"/>
              </w:rPr>
            </w:pPr>
            <w:r>
              <w:rPr>
                <w:rFonts w:ascii="Times New Roman" w:hAnsi="Times New Roman"/>
                <w:color w:val="000000"/>
                <w:sz w:val="20"/>
                <w:szCs w:val="20"/>
              </w:rPr>
              <w:t>(5) INFLA</w:t>
            </w:r>
          </w:p>
        </w:tc>
      </w:tr>
      <w:tr w14:paraId="79E918FB">
        <w:tc>
          <w:tcPr>
            <w:tcW w:w="816" w:type="pct"/>
            <w:tcBorders>
              <w:top w:val="nil"/>
              <w:left w:val="nil"/>
              <w:bottom w:val="nil"/>
              <w:right w:val="nil"/>
            </w:tcBorders>
          </w:tcPr>
          <w:p w14:paraId="6AB97A16">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731" w:type="pct"/>
            <w:tcBorders>
              <w:top w:val="single" w:color="auto" w:sz="4" w:space="0"/>
              <w:left w:val="nil"/>
              <w:bottom w:val="single" w:color="auto" w:sz="4" w:space="0"/>
              <w:right w:val="nil"/>
            </w:tcBorders>
            <w:vAlign w:val="center"/>
          </w:tcPr>
          <w:p w14:paraId="688D926E">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730" w:type="pct"/>
            <w:tcBorders>
              <w:top w:val="single" w:color="auto" w:sz="4" w:space="0"/>
              <w:left w:val="nil"/>
              <w:bottom w:val="single" w:color="auto" w:sz="4" w:space="0"/>
              <w:right w:val="nil"/>
            </w:tcBorders>
            <w:vAlign w:val="center"/>
          </w:tcPr>
          <w:p w14:paraId="1A376A25">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88" w:type="pct"/>
            <w:tcBorders>
              <w:top w:val="single" w:color="auto" w:sz="4" w:space="0"/>
              <w:left w:val="nil"/>
              <w:bottom w:val="single" w:color="auto" w:sz="4" w:space="0"/>
              <w:right w:val="nil"/>
            </w:tcBorders>
            <w:vAlign w:val="center"/>
          </w:tcPr>
          <w:p w14:paraId="5AEFBB4C">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18" w:type="pct"/>
            <w:tcBorders>
              <w:top w:val="single" w:color="auto" w:sz="4" w:space="0"/>
              <w:left w:val="nil"/>
              <w:bottom w:val="single" w:color="auto" w:sz="4" w:space="0"/>
              <w:right w:val="nil"/>
            </w:tcBorders>
            <w:vAlign w:val="center"/>
          </w:tcPr>
          <w:p w14:paraId="39F132BE">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17" w:type="pct"/>
            <w:tcBorders>
              <w:top w:val="single" w:color="auto" w:sz="4" w:space="0"/>
              <w:left w:val="nil"/>
              <w:bottom w:val="single" w:color="auto" w:sz="4" w:space="0"/>
              <w:right w:val="nil"/>
            </w:tcBorders>
            <w:vAlign w:val="center"/>
          </w:tcPr>
          <w:p w14:paraId="75347E95">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13B14332">
        <w:tc>
          <w:tcPr>
            <w:tcW w:w="816" w:type="pct"/>
            <w:tcBorders>
              <w:top w:val="single" w:color="auto" w:sz="4" w:space="0"/>
              <w:left w:val="nil"/>
              <w:bottom w:val="nil"/>
              <w:right w:val="nil"/>
            </w:tcBorders>
          </w:tcPr>
          <w:p w14:paraId="7E7042F3">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TEI_agri L1</w:t>
            </w:r>
          </w:p>
        </w:tc>
        <w:tc>
          <w:tcPr>
            <w:tcW w:w="731" w:type="pct"/>
            <w:tcBorders>
              <w:top w:val="single" w:color="auto" w:sz="4" w:space="0"/>
              <w:left w:val="nil"/>
              <w:bottom w:val="nil"/>
              <w:right w:val="nil"/>
            </w:tcBorders>
          </w:tcPr>
          <w:p w14:paraId="33C56887">
            <w:pPr>
              <w:pStyle w:val="69"/>
              <w:spacing w:line="360" w:lineRule="auto"/>
              <w:rPr>
                <w:rFonts w:ascii="Times New Roman" w:hAnsi="Times New Roman"/>
                <w:color w:val="000000"/>
                <w:sz w:val="20"/>
                <w:szCs w:val="20"/>
              </w:rPr>
            </w:pPr>
            <w:r>
              <w:rPr>
                <w:rFonts w:ascii="Times New Roman" w:hAnsi="Times New Roman"/>
                <w:color w:val="000000"/>
                <w:sz w:val="20"/>
                <w:szCs w:val="20"/>
              </w:rPr>
              <w:t>0.0076326</w:t>
            </w:r>
          </w:p>
        </w:tc>
        <w:tc>
          <w:tcPr>
            <w:tcW w:w="730" w:type="pct"/>
            <w:tcBorders>
              <w:top w:val="single" w:color="auto" w:sz="4" w:space="0"/>
              <w:left w:val="nil"/>
              <w:bottom w:val="nil"/>
              <w:right w:val="nil"/>
            </w:tcBorders>
          </w:tcPr>
          <w:p w14:paraId="3747CD73">
            <w:pPr>
              <w:pStyle w:val="69"/>
              <w:spacing w:line="360" w:lineRule="auto"/>
              <w:rPr>
                <w:rFonts w:ascii="Times New Roman" w:hAnsi="Times New Roman"/>
                <w:color w:val="000000"/>
                <w:sz w:val="20"/>
                <w:szCs w:val="20"/>
              </w:rPr>
            </w:pPr>
            <w:r>
              <w:rPr>
                <w:rFonts w:ascii="Times New Roman" w:hAnsi="Times New Roman"/>
                <w:color w:val="000000"/>
                <w:sz w:val="20"/>
                <w:szCs w:val="20"/>
              </w:rPr>
              <w:t>-0.0017319</w:t>
            </w:r>
          </w:p>
        </w:tc>
        <w:tc>
          <w:tcPr>
            <w:tcW w:w="888" w:type="pct"/>
            <w:tcBorders>
              <w:top w:val="single" w:color="auto" w:sz="4" w:space="0"/>
              <w:left w:val="nil"/>
              <w:bottom w:val="nil"/>
              <w:right w:val="nil"/>
            </w:tcBorders>
          </w:tcPr>
          <w:p w14:paraId="58A1766A">
            <w:pPr>
              <w:pStyle w:val="69"/>
              <w:spacing w:line="360" w:lineRule="auto"/>
              <w:rPr>
                <w:rFonts w:ascii="Times New Roman" w:hAnsi="Times New Roman"/>
                <w:color w:val="000000"/>
                <w:sz w:val="20"/>
                <w:szCs w:val="20"/>
              </w:rPr>
            </w:pPr>
            <w:r>
              <w:rPr>
                <w:rFonts w:ascii="Times New Roman" w:hAnsi="Times New Roman"/>
                <w:color w:val="000000"/>
                <w:sz w:val="20"/>
                <w:szCs w:val="20"/>
              </w:rPr>
              <w:t>0.011664</w:t>
            </w:r>
          </w:p>
        </w:tc>
        <w:tc>
          <w:tcPr>
            <w:tcW w:w="918" w:type="pct"/>
            <w:tcBorders>
              <w:top w:val="single" w:color="auto" w:sz="4" w:space="0"/>
              <w:left w:val="nil"/>
              <w:bottom w:val="nil"/>
              <w:right w:val="nil"/>
            </w:tcBorders>
          </w:tcPr>
          <w:p w14:paraId="45489ED8">
            <w:pPr>
              <w:pStyle w:val="69"/>
              <w:spacing w:line="360" w:lineRule="auto"/>
              <w:rPr>
                <w:rFonts w:ascii="Times New Roman" w:hAnsi="Times New Roman"/>
                <w:color w:val="000000"/>
                <w:sz w:val="20"/>
                <w:szCs w:val="20"/>
              </w:rPr>
            </w:pPr>
            <w:r>
              <w:rPr>
                <w:rFonts w:ascii="Times New Roman" w:hAnsi="Times New Roman"/>
                <w:color w:val="000000"/>
                <w:sz w:val="20"/>
                <w:szCs w:val="20"/>
              </w:rPr>
              <w:t>0.0044572</w:t>
            </w:r>
          </w:p>
        </w:tc>
        <w:tc>
          <w:tcPr>
            <w:tcW w:w="917" w:type="pct"/>
            <w:tcBorders>
              <w:top w:val="single" w:color="auto" w:sz="4" w:space="0"/>
              <w:left w:val="nil"/>
              <w:bottom w:val="nil"/>
              <w:right w:val="nil"/>
            </w:tcBorders>
          </w:tcPr>
          <w:p w14:paraId="0E02923F">
            <w:pPr>
              <w:pStyle w:val="69"/>
              <w:spacing w:line="360" w:lineRule="auto"/>
              <w:rPr>
                <w:rFonts w:ascii="Times New Roman" w:hAnsi="Times New Roman"/>
                <w:color w:val="000000"/>
                <w:sz w:val="20"/>
                <w:szCs w:val="20"/>
              </w:rPr>
            </w:pPr>
            <w:r>
              <w:rPr>
                <w:rFonts w:ascii="Times New Roman" w:hAnsi="Times New Roman"/>
                <w:color w:val="000000"/>
                <w:sz w:val="20"/>
                <w:szCs w:val="20"/>
              </w:rPr>
              <w:t>-0.0099295</w:t>
            </w:r>
          </w:p>
        </w:tc>
      </w:tr>
      <w:tr w14:paraId="3B4D76BC">
        <w:tc>
          <w:tcPr>
            <w:tcW w:w="816" w:type="pct"/>
            <w:tcBorders>
              <w:top w:val="nil"/>
              <w:left w:val="nil"/>
              <w:bottom w:val="nil"/>
              <w:right w:val="nil"/>
            </w:tcBorders>
          </w:tcPr>
          <w:p w14:paraId="126B9382">
            <w:pPr>
              <w:pStyle w:val="69"/>
              <w:spacing w:line="360" w:lineRule="auto"/>
              <w:rPr>
                <w:rFonts w:ascii="Times New Roman" w:hAnsi="Times New Roman"/>
                <w:color w:val="000000"/>
                <w:sz w:val="20"/>
                <w:szCs w:val="20"/>
              </w:rPr>
            </w:pPr>
          </w:p>
        </w:tc>
        <w:tc>
          <w:tcPr>
            <w:tcW w:w="731" w:type="pct"/>
            <w:tcBorders>
              <w:top w:val="nil"/>
              <w:left w:val="nil"/>
              <w:bottom w:val="nil"/>
              <w:right w:val="nil"/>
            </w:tcBorders>
          </w:tcPr>
          <w:p w14:paraId="44069A7F">
            <w:pPr>
              <w:pStyle w:val="69"/>
              <w:spacing w:line="360" w:lineRule="auto"/>
              <w:rPr>
                <w:rFonts w:ascii="Times New Roman" w:hAnsi="Times New Roman"/>
                <w:color w:val="000000"/>
                <w:sz w:val="20"/>
                <w:szCs w:val="20"/>
              </w:rPr>
            </w:pPr>
            <w:r>
              <w:rPr>
                <w:rFonts w:ascii="Times New Roman" w:hAnsi="Times New Roman"/>
                <w:color w:val="000000"/>
                <w:sz w:val="20"/>
                <w:szCs w:val="20"/>
              </w:rPr>
              <w:t>(0.0043018)</w:t>
            </w:r>
          </w:p>
        </w:tc>
        <w:tc>
          <w:tcPr>
            <w:tcW w:w="730" w:type="pct"/>
            <w:tcBorders>
              <w:top w:val="nil"/>
              <w:left w:val="nil"/>
              <w:bottom w:val="nil"/>
              <w:right w:val="nil"/>
            </w:tcBorders>
          </w:tcPr>
          <w:p w14:paraId="4C61E3C9">
            <w:pPr>
              <w:pStyle w:val="69"/>
              <w:spacing w:line="360" w:lineRule="auto"/>
              <w:rPr>
                <w:rFonts w:ascii="Times New Roman" w:hAnsi="Times New Roman"/>
                <w:color w:val="000000"/>
                <w:sz w:val="20"/>
                <w:szCs w:val="20"/>
              </w:rPr>
            </w:pPr>
            <w:r>
              <w:rPr>
                <w:rFonts w:ascii="Times New Roman" w:hAnsi="Times New Roman"/>
                <w:color w:val="000000"/>
                <w:sz w:val="20"/>
                <w:szCs w:val="20"/>
              </w:rPr>
              <w:t>(0.0011466)</w:t>
            </w:r>
          </w:p>
        </w:tc>
        <w:tc>
          <w:tcPr>
            <w:tcW w:w="888" w:type="pct"/>
            <w:tcBorders>
              <w:top w:val="nil"/>
              <w:left w:val="nil"/>
              <w:bottom w:val="nil"/>
              <w:right w:val="nil"/>
            </w:tcBorders>
          </w:tcPr>
          <w:p w14:paraId="626C7434">
            <w:pPr>
              <w:pStyle w:val="69"/>
              <w:spacing w:line="360" w:lineRule="auto"/>
              <w:rPr>
                <w:rFonts w:ascii="Times New Roman" w:hAnsi="Times New Roman"/>
                <w:color w:val="000000"/>
                <w:sz w:val="20"/>
                <w:szCs w:val="20"/>
              </w:rPr>
            </w:pPr>
            <w:r>
              <w:rPr>
                <w:rFonts w:ascii="Times New Roman" w:hAnsi="Times New Roman"/>
                <w:color w:val="000000"/>
                <w:sz w:val="20"/>
                <w:szCs w:val="20"/>
              </w:rPr>
              <w:t>(0.0068215)</w:t>
            </w:r>
          </w:p>
        </w:tc>
        <w:tc>
          <w:tcPr>
            <w:tcW w:w="918" w:type="pct"/>
            <w:tcBorders>
              <w:top w:val="nil"/>
              <w:left w:val="nil"/>
              <w:bottom w:val="nil"/>
              <w:right w:val="nil"/>
            </w:tcBorders>
          </w:tcPr>
          <w:p w14:paraId="75B2D517">
            <w:pPr>
              <w:pStyle w:val="69"/>
              <w:spacing w:line="360" w:lineRule="auto"/>
              <w:rPr>
                <w:rFonts w:ascii="Times New Roman" w:hAnsi="Times New Roman"/>
                <w:color w:val="000000"/>
                <w:sz w:val="20"/>
                <w:szCs w:val="20"/>
              </w:rPr>
            </w:pPr>
            <w:r>
              <w:rPr>
                <w:rFonts w:ascii="Times New Roman" w:hAnsi="Times New Roman"/>
                <w:color w:val="000000"/>
                <w:sz w:val="20"/>
                <w:szCs w:val="20"/>
              </w:rPr>
              <w:t>(0.0032122)</w:t>
            </w:r>
          </w:p>
        </w:tc>
        <w:tc>
          <w:tcPr>
            <w:tcW w:w="917" w:type="pct"/>
            <w:tcBorders>
              <w:top w:val="nil"/>
              <w:left w:val="nil"/>
              <w:bottom w:val="nil"/>
              <w:right w:val="nil"/>
            </w:tcBorders>
          </w:tcPr>
          <w:p w14:paraId="68A5CA44">
            <w:pPr>
              <w:pStyle w:val="69"/>
              <w:spacing w:line="360" w:lineRule="auto"/>
              <w:rPr>
                <w:rFonts w:ascii="Times New Roman" w:hAnsi="Times New Roman"/>
                <w:color w:val="000000"/>
                <w:sz w:val="20"/>
                <w:szCs w:val="20"/>
              </w:rPr>
            </w:pPr>
            <w:r>
              <w:rPr>
                <w:rFonts w:ascii="Times New Roman" w:hAnsi="Times New Roman"/>
                <w:color w:val="000000"/>
                <w:sz w:val="20"/>
                <w:szCs w:val="20"/>
              </w:rPr>
              <w:t>(0.006156)</w:t>
            </w:r>
          </w:p>
        </w:tc>
      </w:tr>
      <w:tr w14:paraId="049CD75B">
        <w:tc>
          <w:tcPr>
            <w:tcW w:w="816" w:type="pct"/>
            <w:tcBorders>
              <w:top w:val="nil"/>
              <w:left w:val="nil"/>
              <w:bottom w:val="nil"/>
              <w:right w:val="nil"/>
            </w:tcBorders>
          </w:tcPr>
          <w:p w14:paraId="25D0D095">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731" w:type="pct"/>
            <w:tcBorders>
              <w:top w:val="nil"/>
              <w:left w:val="nil"/>
              <w:bottom w:val="nil"/>
              <w:right w:val="nil"/>
            </w:tcBorders>
          </w:tcPr>
          <w:p w14:paraId="56DEA624">
            <w:pPr>
              <w:pStyle w:val="69"/>
              <w:spacing w:line="360" w:lineRule="auto"/>
              <w:rPr>
                <w:rFonts w:ascii="Times New Roman" w:hAnsi="Times New Roman"/>
                <w:color w:val="000000"/>
                <w:sz w:val="20"/>
                <w:szCs w:val="20"/>
              </w:rPr>
            </w:pPr>
            <w:r>
              <w:rPr>
                <w:rFonts w:ascii="Times New Roman" w:hAnsi="Times New Roman"/>
                <w:color w:val="000000"/>
                <w:sz w:val="20"/>
                <w:szCs w:val="20"/>
              </w:rPr>
              <w:t>-0.0273185</w:t>
            </w:r>
          </w:p>
        </w:tc>
        <w:tc>
          <w:tcPr>
            <w:tcW w:w="730" w:type="pct"/>
            <w:tcBorders>
              <w:top w:val="nil"/>
              <w:left w:val="nil"/>
              <w:bottom w:val="nil"/>
              <w:right w:val="nil"/>
            </w:tcBorders>
          </w:tcPr>
          <w:p w14:paraId="36988DE4">
            <w:pPr>
              <w:pStyle w:val="69"/>
              <w:spacing w:line="360" w:lineRule="auto"/>
              <w:rPr>
                <w:rFonts w:ascii="Times New Roman" w:hAnsi="Times New Roman"/>
                <w:color w:val="000000"/>
                <w:sz w:val="20"/>
                <w:szCs w:val="20"/>
              </w:rPr>
            </w:pPr>
            <w:r>
              <w:rPr>
                <w:rFonts w:ascii="Times New Roman" w:hAnsi="Times New Roman"/>
                <w:color w:val="000000"/>
                <w:sz w:val="20"/>
                <w:szCs w:val="20"/>
              </w:rPr>
              <w:t>0.018196*</w:t>
            </w:r>
          </w:p>
        </w:tc>
        <w:tc>
          <w:tcPr>
            <w:tcW w:w="888" w:type="pct"/>
            <w:tcBorders>
              <w:top w:val="nil"/>
              <w:left w:val="nil"/>
              <w:bottom w:val="nil"/>
              <w:right w:val="nil"/>
            </w:tcBorders>
          </w:tcPr>
          <w:p w14:paraId="1588435D">
            <w:pPr>
              <w:pStyle w:val="69"/>
              <w:spacing w:line="360" w:lineRule="auto"/>
              <w:rPr>
                <w:rFonts w:ascii="Times New Roman" w:hAnsi="Times New Roman"/>
                <w:color w:val="000000"/>
                <w:sz w:val="20"/>
                <w:szCs w:val="20"/>
              </w:rPr>
            </w:pPr>
            <w:r>
              <w:rPr>
                <w:rFonts w:ascii="Times New Roman" w:hAnsi="Times New Roman"/>
                <w:color w:val="000000"/>
                <w:sz w:val="20"/>
                <w:szCs w:val="20"/>
              </w:rPr>
              <w:t>-0.1169296</w:t>
            </w:r>
          </w:p>
        </w:tc>
        <w:tc>
          <w:tcPr>
            <w:tcW w:w="918" w:type="pct"/>
            <w:tcBorders>
              <w:top w:val="nil"/>
              <w:left w:val="nil"/>
              <w:bottom w:val="nil"/>
              <w:right w:val="nil"/>
            </w:tcBorders>
          </w:tcPr>
          <w:p w14:paraId="278D10F7">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0.0191424**  </w:t>
            </w:r>
          </w:p>
        </w:tc>
        <w:tc>
          <w:tcPr>
            <w:tcW w:w="917" w:type="pct"/>
            <w:tcBorders>
              <w:top w:val="nil"/>
              <w:left w:val="nil"/>
              <w:bottom w:val="nil"/>
              <w:right w:val="nil"/>
            </w:tcBorders>
          </w:tcPr>
          <w:p w14:paraId="69D0A6D3">
            <w:pPr>
              <w:pStyle w:val="69"/>
              <w:spacing w:line="360" w:lineRule="auto"/>
              <w:rPr>
                <w:rFonts w:ascii="Times New Roman" w:hAnsi="Times New Roman"/>
                <w:color w:val="000000"/>
                <w:sz w:val="20"/>
                <w:szCs w:val="20"/>
              </w:rPr>
            </w:pPr>
            <w:r>
              <w:rPr>
                <w:rFonts w:ascii="Times New Roman" w:hAnsi="Times New Roman"/>
                <w:color w:val="000000"/>
                <w:sz w:val="20"/>
                <w:szCs w:val="20"/>
              </w:rPr>
              <w:t>-0.0714238</w:t>
            </w:r>
          </w:p>
        </w:tc>
      </w:tr>
      <w:tr w14:paraId="01D45372">
        <w:tc>
          <w:tcPr>
            <w:tcW w:w="816" w:type="pct"/>
            <w:tcBorders>
              <w:top w:val="nil"/>
              <w:left w:val="nil"/>
              <w:bottom w:val="nil"/>
              <w:right w:val="nil"/>
            </w:tcBorders>
          </w:tcPr>
          <w:p w14:paraId="0FFE645A">
            <w:pPr>
              <w:pStyle w:val="69"/>
              <w:spacing w:line="360" w:lineRule="auto"/>
              <w:rPr>
                <w:rFonts w:ascii="Times New Roman" w:hAnsi="Times New Roman"/>
                <w:color w:val="000000"/>
                <w:sz w:val="20"/>
                <w:szCs w:val="20"/>
              </w:rPr>
            </w:pPr>
          </w:p>
        </w:tc>
        <w:tc>
          <w:tcPr>
            <w:tcW w:w="731" w:type="pct"/>
            <w:tcBorders>
              <w:top w:val="nil"/>
              <w:left w:val="nil"/>
              <w:bottom w:val="nil"/>
              <w:right w:val="nil"/>
            </w:tcBorders>
          </w:tcPr>
          <w:p w14:paraId="2D5C7D34">
            <w:pPr>
              <w:pStyle w:val="69"/>
              <w:spacing w:line="360" w:lineRule="auto"/>
              <w:rPr>
                <w:rFonts w:ascii="Times New Roman" w:hAnsi="Times New Roman"/>
                <w:color w:val="000000"/>
                <w:sz w:val="20"/>
                <w:szCs w:val="20"/>
              </w:rPr>
            </w:pPr>
            <w:r>
              <w:rPr>
                <w:rFonts w:ascii="Times New Roman" w:hAnsi="Times New Roman"/>
                <w:color w:val="000000"/>
                <w:sz w:val="20"/>
                <w:szCs w:val="20"/>
              </w:rPr>
              <w:t>(0.0327112)</w:t>
            </w:r>
          </w:p>
        </w:tc>
        <w:tc>
          <w:tcPr>
            <w:tcW w:w="730" w:type="pct"/>
            <w:tcBorders>
              <w:top w:val="nil"/>
              <w:left w:val="nil"/>
              <w:bottom w:val="nil"/>
              <w:right w:val="nil"/>
            </w:tcBorders>
          </w:tcPr>
          <w:p w14:paraId="503C09AF">
            <w:pPr>
              <w:pStyle w:val="69"/>
              <w:spacing w:line="360" w:lineRule="auto"/>
              <w:rPr>
                <w:rFonts w:ascii="Times New Roman" w:hAnsi="Times New Roman"/>
                <w:color w:val="000000"/>
                <w:sz w:val="20"/>
                <w:szCs w:val="20"/>
              </w:rPr>
            </w:pPr>
            <w:r>
              <w:rPr>
                <w:rFonts w:ascii="Times New Roman" w:hAnsi="Times New Roman"/>
                <w:color w:val="000000"/>
                <w:sz w:val="20"/>
                <w:szCs w:val="20"/>
              </w:rPr>
              <w:t>(0.0094981)</w:t>
            </w:r>
          </w:p>
        </w:tc>
        <w:tc>
          <w:tcPr>
            <w:tcW w:w="888" w:type="pct"/>
            <w:tcBorders>
              <w:top w:val="nil"/>
              <w:left w:val="nil"/>
              <w:bottom w:val="nil"/>
              <w:right w:val="nil"/>
            </w:tcBorders>
          </w:tcPr>
          <w:p w14:paraId="2A4C5797">
            <w:pPr>
              <w:pStyle w:val="69"/>
              <w:spacing w:line="360" w:lineRule="auto"/>
              <w:rPr>
                <w:rFonts w:ascii="Times New Roman" w:hAnsi="Times New Roman"/>
                <w:color w:val="000000"/>
                <w:sz w:val="20"/>
                <w:szCs w:val="20"/>
              </w:rPr>
            </w:pPr>
            <w:r>
              <w:rPr>
                <w:rFonts w:ascii="Times New Roman" w:hAnsi="Times New Roman"/>
                <w:color w:val="000000"/>
                <w:sz w:val="20"/>
                <w:szCs w:val="20"/>
              </w:rPr>
              <w:t>(0.069864)</w:t>
            </w:r>
          </w:p>
        </w:tc>
        <w:tc>
          <w:tcPr>
            <w:tcW w:w="918" w:type="pct"/>
            <w:tcBorders>
              <w:top w:val="nil"/>
              <w:left w:val="nil"/>
              <w:bottom w:val="nil"/>
              <w:right w:val="nil"/>
            </w:tcBorders>
          </w:tcPr>
          <w:p w14:paraId="4DC90D9A">
            <w:pPr>
              <w:pStyle w:val="69"/>
              <w:spacing w:line="360" w:lineRule="auto"/>
              <w:rPr>
                <w:rFonts w:ascii="Times New Roman" w:hAnsi="Times New Roman"/>
                <w:color w:val="000000"/>
                <w:sz w:val="20"/>
                <w:szCs w:val="20"/>
              </w:rPr>
            </w:pPr>
            <w:r>
              <w:rPr>
                <w:rFonts w:ascii="Times New Roman" w:hAnsi="Times New Roman"/>
                <w:color w:val="000000"/>
                <w:sz w:val="20"/>
                <w:szCs w:val="20"/>
              </w:rPr>
              <w:t>(0.0081327)</w:t>
            </w:r>
          </w:p>
        </w:tc>
        <w:tc>
          <w:tcPr>
            <w:tcW w:w="917" w:type="pct"/>
            <w:tcBorders>
              <w:top w:val="nil"/>
              <w:left w:val="nil"/>
              <w:bottom w:val="nil"/>
              <w:right w:val="nil"/>
            </w:tcBorders>
          </w:tcPr>
          <w:p w14:paraId="351BAD4E">
            <w:pPr>
              <w:pStyle w:val="69"/>
              <w:spacing w:line="360" w:lineRule="auto"/>
              <w:rPr>
                <w:rFonts w:ascii="Times New Roman" w:hAnsi="Times New Roman"/>
                <w:color w:val="000000"/>
                <w:sz w:val="20"/>
                <w:szCs w:val="20"/>
              </w:rPr>
            </w:pPr>
            <w:r>
              <w:rPr>
                <w:rFonts w:ascii="Times New Roman" w:hAnsi="Times New Roman"/>
                <w:color w:val="000000"/>
                <w:sz w:val="20"/>
                <w:szCs w:val="20"/>
              </w:rPr>
              <w:t>(0.049068)</w:t>
            </w:r>
          </w:p>
        </w:tc>
      </w:tr>
      <w:tr w14:paraId="2810599F">
        <w:trPr>
          <w:trHeight w:val="90" w:hRule="atLeast"/>
        </w:trPr>
        <w:tc>
          <w:tcPr>
            <w:tcW w:w="816" w:type="pct"/>
            <w:tcBorders>
              <w:top w:val="nil"/>
              <w:left w:val="nil"/>
              <w:bottom w:val="nil"/>
              <w:right w:val="nil"/>
            </w:tcBorders>
          </w:tcPr>
          <w:p w14:paraId="4991E22D">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731" w:type="pct"/>
            <w:tcBorders>
              <w:top w:val="nil"/>
              <w:left w:val="nil"/>
              <w:bottom w:val="nil"/>
              <w:right w:val="nil"/>
            </w:tcBorders>
          </w:tcPr>
          <w:p w14:paraId="7C9EC72A">
            <w:pPr>
              <w:pStyle w:val="69"/>
              <w:spacing w:line="360" w:lineRule="auto"/>
              <w:rPr>
                <w:rFonts w:ascii="Times New Roman" w:hAnsi="Times New Roman"/>
                <w:color w:val="000000"/>
                <w:sz w:val="20"/>
                <w:szCs w:val="20"/>
              </w:rPr>
            </w:pPr>
            <w:r>
              <w:rPr>
                <w:rFonts w:ascii="Times New Roman" w:hAnsi="Times New Roman"/>
                <w:color w:val="000000"/>
                <w:sz w:val="20"/>
                <w:szCs w:val="20"/>
              </w:rPr>
              <w:t>-0.9766278</w:t>
            </w:r>
          </w:p>
        </w:tc>
        <w:tc>
          <w:tcPr>
            <w:tcW w:w="730" w:type="pct"/>
            <w:tcBorders>
              <w:top w:val="nil"/>
              <w:left w:val="nil"/>
              <w:bottom w:val="nil"/>
              <w:right w:val="nil"/>
            </w:tcBorders>
          </w:tcPr>
          <w:p w14:paraId="724B9FE6">
            <w:pPr>
              <w:pStyle w:val="69"/>
              <w:spacing w:line="360" w:lineRule="auto"/>
              <w:rPr>
                <w:rFonts w:ascii="Times New Roman" w:hAnsi="Times New Roman"/>
                <w:color w:val="000000"/>
                <w:sz w:val="20"/>
                <w:szCs w:val="20"/>
              </w:rPr>
            </w:pPr>
            <w:r>
              <w:rPr>
                <w:rFonts w:ascii="Times New Roman" w:hAnsi="Times New Roman"/>
                <w:color w:val="000000"/>
                <w:sz w:val="20"/>
                <w:szCs w:val="20"/>
              </w:rPr>
              <w:t>0.1867916</w:t>
            </w:r>
          </w:p>
        </w:tc>
        <w:tc>
          <w:tcPr>
            <w:tcW w:w="888" w:type="pct"/>
            <w:tcBorders>
              <w:top w:val="nil"/>
              <w:left w:val="nil"/>
              <w:bottom w:val="nil"/>
              <w:right w:val="nil"/>
            </w:tcBorders>
          </w:tcPr>
          <w:p w14:paraId="5A422E51">
            <w:pPr>
              <w:pStyle w:val="69"/>
              <w:spacing w:line="360" w:lineRule="auto"/>
              <w:rPr>
                <w:rFonts w:ascii="Times New Roman" w:hAnsi="Times New Roman"/>
                <w:color w:val="000000"/>
                <w:sz w:val="20"/>
                <w:szCs w:val="20"/>
              </w:rPr>
            </w:pPr>
            <w:r>
              <w:rPr>
                <w:rFonts w:ascii="Times New Roman" w:hAnsi="Times New Roman"/>
                <w:color w:val="000000"/>
                <w:sz w:val="20"/>
                <w:szCs w:val="20"/>
              </w:rPr>
              <w:t>-0.8880821</w:t>
            </w:r>
          </w:p>
        </w:tc>
        <w:tc>
          <w:tcPr>
            <w:tcW w:w="918" w:type="pct"/>
            <w:tcBorders>
              <w:top w:val="nil"/>
              <w:left w:val="nil"/>
              <w:bottom w:val="nil"/>
              <w:right w:val="nil"/>
            </w:tcBorders>
          </w:tcPr>
          <w:p w14:paraId="37F7CBB1">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0.3817092  </w:t>
            </w:r>
          </w:p>
        </w:tc>
        <w:tc>
          <w:tcPr>
            <w:tcW w:w="917" w:type="pct"/>
            <w:tcBorders>
              <w:top w:val="nil"/>
              <w:left w:val="nil"/>
              <w:bottom w:val="nil"/>
              <w:right w:val="nil"/>
            </w:tcBorders>
          </w:tcPr>
          <w:p w14:paraId="384E1F37">
            <w:pPr>
              <w:pStyle w:val="69"/>
              <w:spacing w:line="360" w:lineRule="auto"/>
              <w:rPr>
                <w:rFonts w:ascii="Times New Roman" w:hAnsi="Times New Roman"/>
                <w:color w:val="000000"/>
                <w:sz w:val="20"/>
                <w:szCs w:val="20"/>
              </w:rPr>
            </w:pPr>
            <w:r>
              <w:rPr>
                <w:rFonts w:ascii="Times New Roman" w:hAnsi="Times New Roman"/>
                <w:color w:val="000000"/>
                <w:sz w:val="20"/>
                <w:szCs w:val="20"/>
              </w:rPr>
              <w:t>1.03705</w:t>
            </w:r>
          </w:p>
        </w:tc>
      </w:tr>
      <w:tr w14:paraId="09539FF1">
        <w:tc>
          <w:tcPr>
            <w:tcW w:w="816" w:type="pct"/>
            <w:tcBorders>
              <w:top w:val="nil"/>
              <w:left w:val="nil"/>
              <w:bottom w:val="nil"/>
              <w:right w:val="nil"/>
            </w:tcBorders>
          </w:tcPr>
          <w:p w14:paraId="164AFE08">
            <w:pPr>
              <w:pStyle w:val="69"/>
              <w:spacing w:line="360" w:lineRule="auto"/>
              <w:rPr>
                <w:rFonts w:ascii="Times New Roman" w:hAnsi="Times New Roman"/>
                <w:color w:val="000000"/>
                <w:sz w:val="20"/>
                <w:szCs w:val="20"/>
              </w:rPr>
            </w:pPr>
          </w:p>
        </w:tc>
        <w:tc>
          <w:tcPr>
            <w:tcW w:w="731" w:type="pct"/>
            <w:tcBorders>
              <w:top w:val="nil"/>
              <w:left w:val="nil"/>
              <w:bottom w:val="nil"/>
              <w:right w:val="nil"/>
            </w:tcBorders>
          </w:tcPr>
          <w:p w14:paraId="56004781">
            <w:pPr>
              <w:pStyle w:val="69"/>
              <w:spacing w:line="360" w:lineRule="auto"/>
              <w:rPr>
                <w:rFonts w:ascii="Times New Roman" w:hAnsi="Times New Roman"/>
                <w:color w:val="000000"/>
                <w:sz w:val="20"/>
                <w:szCs w:val="20"/>
              </w:rPr>
            </w:pPr>
            <w:r>
              <w:rPr>
                <w:rFonts w:ascii="Times New Roman" w:hAnsi="Times New Roman"/>
                <w:color w:val="000000"/>
                <w:sz w:val="20"/>
                <w:szCs w:val="20"/>
              </w:rPr>
              <w:t>(0.8935596)</w:t>
            </w:r>
          </w:p>
        </w:tc>
        <w:tc>
          <w:tcPr>
            <w:tcW w:w="730" w:type="pct"/>
            <w:tcBorders>
              <w:top w:val="nil"/>
              <w:left w:val="nil"/>
              <w:bottom w:val="nil"/>
              <w:right w:val="nil"/>
            </w:tcBorders>
          </w:tcPr>
          <w:p w14:paraId="63C40E75">
            <w:pPr>
              <w:pStyle w:val="69"/>
              <w:spacing w:line="360" w:lineRule="auto"/>
              <w:rPr>
                <w:rFonts w:ascii="Times New Roman" w:hAnsi="Times New Roman"/>
                <w:color w:val="000000"/>
                <w:sz w:val="20"/>
                <w:szCs w:val="20"/>
              </w:rPr>
            </w:pPr>
            <w:r>
              <w:rPr>
                <w:rFonts w:ascii="Times New Roman" w:hAnsi="Times New Roman"/>
                <w:color w:val="000000"/>
                <w:sz w:val="20"/>
                <w:szCs w:val="20"/>
              </w:rPr>
              <w:t>(0.2430903)</w:t>
            </w:r>
          </w:p>
        </w:tc>
        <w:tc>
          <w:tcPr>
            <w:tcW w:w="888" w:type="pct"/>
            <w:tcBorders>
              <w:top w:val="nil"/>
              <w:left w:val="nil"/>
              <w:bottom w:val="nil"/>
              <w:right w:val="nil"/>
            </w:tcBorders>
          </w:tcPr>
          <w:p w14:paraId="736B7C3D">
            <w:pPr>
              <w:pStyle w:val="69"/>
              <w:spacing w:line="360" w:lineRule="auto"/>
              <w:rPr>
                <w:rFonts w:ascii="Times New Roman" w:hAnsi="Times New Roman"/>
                <w:color w:val="000000"/>
                <w:sz w:val="20"/>
                <w:szCs w:val="20"/>
              </w:rPr>
            </w:pPr>
            <w:r>
              <w:rPr>
                <w:rFonts w:ascii="Times New Roman" w:hAnsi="Times New Roman"/>
                <w:color w:val="000000"/>
                <w:sz w:val="20"/>
                <w:szCs w:val="20"/>
              </w:rPr>
              <w:t>(1.165065)</w:t>
            </w:r>
          </w:p>
        </w:tc>
        <w:tc>
          <w:tcPr>
            <w:tcW w:w="918" w:type="pct"/>
            <w:tcBorders>
              <w:top w:val="nil"/>
              <w:left w:val="nil"/>
              <w:bottom w:val="nil"/>
              <w:right w:val="nil"/>
            </w:tcBorders>
          </w:tcPr>
          <w:p w14:paraId="7D8A12EA">
            <w:pPr>
              <w:pStyle w:val="69"/>
              <w:spacing w:line="360" w:lineRule="auto"/>
              <w:rPr>
                <w:rFonts w:ascii="Times New Roman" w:hAnsi="Times New Roman"/>
                <w:color w:val="000000"/>
                <w:sz w:val="20"/>
                <w:szCs w:val="20"/>
              </w:rPr>
            </w:pPr>
            <w:r>
              <w:rPr>
                <w:rFonts w:ascii="Times New Roman" w:hAnsi="Times New Roman"/>
                <w:color w:val="000000"/>
                <w:sz w:val="20"/>
                <w:szCs w:val="20"/>
              </w:rPr>
              <w:t>(0.5070394)</w:t>
            </w:r>
          </w:p>
        </w:tc>
        <w:tc>
          <w:tcPr>
            <w:tcW w:w="917" w:type="pct"/>
            <w:tcBorders>
              <w:top w:val="nil"/>
              <w:left w:val="nil"/>
              <w:bottom w:val="nil"/>
              <w:right w:val="nil"/>
            </w:tcBorders>
          </w:tcPr>
          <w:p w14:paraId="35048448">
            <w:pPr>
              <w:pStyle w:val="69"/>
              <w:spacing w:line="360" w:lineRule="auto"/>
              <w:rPr>
                <w:rFonts w:ascii="Times New Roman" w:hAnsi="Times New Roman"/>
                <w:color w:val="000000"/>
                <w:sz w:val="20"/>
                <w:szCs w:val="20"/>
              </w:rPr>
            </w:pPr>
            <w:r>
              <w:rPr>
                <w:rFonts w:ascii="Times New Roman" w:hAnsi="Times New Roman"/>
                <w:color w:val="000000"/>
                <w:sz w:val="20"/>
                <w:szCs w:val="20"/>
              </w:rPr>
              <w:t>(1.078384)</w:t>
            </w:r>
          </w:p>
        </w:tc>
      </w:tr>
      <w:tr w14:paraId="42F75A10">
        <w:tc>
          <w:tcPr>
            <w:tcW w:w="816" w:type="pct"/>
            <w:tcBorders>
              <w:top w:val="nil"/>
              <w:left w:val="nil"/>
              <w:bottom w:val="nil"/>
              <w:right w:val="nil"/>
            </w:tcBorders>
          </w:tcPr>
          <w:p w14:paraId="682B9599">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731" w:type="pct"/>
            <w:tcBorders>
              <w:top w:val="nil"/>
              <w:left w:val="nil"/>
              <w:bottom w:val="nil"/>
              <w:right w:val="nil"/>
            </w:tcBorders>
          </w:tcPr>
          <w:p w14:paraId="6B16FF7F">
            <w:pPr>
              <w:pStyle w:val="69"/>
              <w:spacing w:line="360" w:lineRule="auto"/>
              <w:rPr>
                <w:rFonts w:ascii="Times New Roman" w:hAnsi="Times New Roman"/>
                <w:color w:val="000000"/>
                <w:sz w:val="20"/>
                <w:szCs w:val="20"/>
              </w:rPr>
            </w:pPr>
            <w:r>
              <w:rPr>
                <w:rFonts w:ascii="Times New Roman" w:hAnsi="Times New Roman"/>
                <w:color w:val="000000"/>
                <w:sz w:val="20"/>
                <w:szCs w:val="20"/>
              </w:rPr>
              <w:t>2.888614</w:t>
            </w:r>
          </w:p>
        </w:tc>
        <w:tc>
          <w:tcPr>
            <w:tcW w:w="730" w:type="pct"/>
            <w:tcBorders>
              <w:top w:val="nil"/>
              <w:left w:val="nil"/>
              <w:bottom w:val="nil"/>
              <w:right w:val="nil"/>
            </w:tcBorders>
          </w:tcPr>
          <w:p w14:paraId="6C54A112">
            <w:pPr>
              <w:pStyle w:val="69"/>
              <w:spacing w:line="360" w:lineRule="auto"/>
              <w:rPr>
                <w:rFonts w:ascii="Times New Roman" w:hAnsi="Times New Roman"/>
                <w:color w:val="000000"/>
                <w:sz w:val="20"/>
                <w:szCs w:val="20"/>
              </w:rPr>
            </w:pPr>
            <w:r>
              <w:rPr>
                <w:rFonts w:ascii="Times New Roman" w:hAnsi="Times New Roman"/>
                <w:color w:val="000000"/>
                <w:sz w:val="20"/>
                <w:szCs w:val="20"/>
              </w:rPr>
              <w:t>2.292797</w:t>
            </w:r>
          </w:p>
        </w:tc>
        <w:tc>
          <w:tcPr>
            <w:tcW w:w="888" w:type="pct"/>
            <w:tcBorders>
              <w:top w:val="nil"/>
              <w:left w:val="nil"/>
              <w:bottom w:val="nil"/>
              <w:right w:val="nil"/>
            </w:tcBorders>
          </w:tcPr>
          <w:p w14:paraId="05B42C00">
            <w:pPr>
              <w:pStyle w:val="69"/>
              <w:spacing w:line="360" w:lineRule="auto"/>
              <w:rPr>
                <w:rFonts w:ascii="Times New Roman" w:hAnsi="Times New Roman"/>
                <w:color w:val="000000"/>
                <w:sz w:val="20"/>
                <w:szCs w:val="20"/>
              </w:rPr>
            </w:pPr>
            <w:r>
              <w:rPr>
                <w:rFonts w:ascii="Times New Roman" w:hAnsi="Times New Roman"/>
                <w:color w:val="000000"/>
                <w:sz w:val="20"/>
                <w:szCs w:val="20"/>
              </w:rPr>
              <w:t>-5.987091</w:t>
            </w:r>
          </w:p>
        </w:tc>
        <w:tc>
          <w:tcPr>
            <w:tcW w:w="918" w:type="pct"/>
            <w:tcBorders>
              <w:top w:val="nil"/>
              <w:left w:val="nil"/>
              <w:bottom w:val="nil"/>
              <w:right w:val="nil"/>
            </w:tcBorders>
          </w:tcPr>
          <w:p w14:paraId="6C08A43C">
            <w:pPr>
              <w:pStyle w:val="69"/>
              <w:spacing w:line="360" w:lineRule="auto"/>
              <w:rPr>
                <w:rFonts w:ascii="Times New Roman" w:hAnsi="Times New Roman"/>
                <w:color w:val="000000"/>
                <w:sz w:val="20"/>
                <w:szCs w:val="20"/>
              </w:rPr>
            </w:pPr>
            <w:r>
              <w:rPr>
                <w:rFonts w:ascii="Times New Roman" w:hAnsi="Times New Roman"/>
                <w:color w:val="000000"/>
                <w:sz w:val="20"/>
                <w:szCs w:val="20"/>
              </w:rPr>
              <w:t>0.363634</w:t>
            </w:r>
          </w:p>
        </w:tc>
        <w:tc>
          <w:tcPr>
            <w:tcW w:w="917" w:type="pct"/>
            <w:tcBorders>
              <w:top w:val="nil"/>
              <w:left w:val="nil"/>
              <w:bottom w:val="nil"/>
              <w:right w:val="nil"/>
            </w:tcBorders>
          </w:tcPr>
          <w:p w14:paraId="22918065">
            <w:pPr>
              <w:pStyle w:val="69"/>
              <w:spacing w:line="360" w:lineRule="auto"/>
              <w:rPr>
                <w:rFonts w:ascii="Times New Roman" w:hAnsi="Times New Roman"/>
                <w:color w:val="000000"/>
                <w:sz w:val="20"/>
                <w:szCs w:val="20"/>
              </w:rPr>
            </w:pPr>
            <w:r>
              <w:rPr>
                <w:rFonts w:ascii="Times New Roman" w:hAnsi="Times New Roman"/>
                <w:color w:val="000000"/>
                <w:sz w:val="20"/>
                <w:szCs w:val="20"/>
              </w:rPr>
              <w:t>3.74623</w:t>
            </w:r>
          </w:p>
        </w:tc>
      </w:tr>
      <w:tr w14:paraId="6380A3EF">
        <w:trPr>
          <w:trHeight w:val="411" w:hRule="atLeast"/>
        </w:trPr>
        <w:tc>
          <w:tcPr>
            <w:tcW w:w="816" w:type="pct"/>
            <w:tcBorders>
              <w:top w:val="nil"/>
              <w:left w:val="nil"/>
              <w:bottom w:val="single" w:color="auto" w:sz="4" w:space="0"/>
              <w:right w:val="nil"/>
            </w:tcBorders>
          </w:tcPr>
          <w:p w14:paraId="2646FA92">
            <w:pPr>
              <w:pStyle w:val="69"/>
              <w:spacing w:line="360" w:lineRule="auto"/>
              <w:rPr>
                <w:rFonts w:ascii="Times New Roman" w:hAnsi="Times New Roman"/>
                <w:color w:val="000000"/>
                <w:sz w:val="20"/>
                <w:szCs w:val="20"/>
              </w:rPr>
            </w:pPr>
          </w:p>
        </w:tc>
        <w:tc>
          <w:tcPr>
            <w:tcW w:w="731" w:type="pct"/>
            <w:tcBorders>
              <w:top w:val="nil"/>
              <w:left w:val="nil"/>
              <w:bottom w:val="single" w:color="auto" w:sz="4" w:space="0"/>
              <w:right w:val="nil"/>
            </w:tcBorders>
          </w:tcPr>
          <w:p w14:paraId="0C0775F4">
            <w:pPr>
              <w:pStyle w:val="69"/>
              <w:spacing w:line="360" w:lineRule="auto"/>
              <w:rPr>
                <w:rFonts w:ascii="Times New Roman" w:hAnsi="Times New Roman"/>
                <w:color w:val="000000"/>
                <w:sz w:val="20"/>
                <w:szCs w:val="20"/>
              </w:rPr>
            </w:pPr>
            <w:r>
              <w:rPr>
                <w:rFonts w:ascii="Times New Roman" w:hAnsi="Times New Roman"/>
                <w:color w:val="000000"/>
                <w:sz w:val="20"/>
                <w:szCs w:val="20"/>
              </w:rPr>
              <w:t>(4.183592)</w:t>
            </w:r>
          </w:p>
        </w:tc>
        <w:tc>
          <w:tcPr>
            <w:tcW w:w="730" w:type="pct"/>
            <w:tcBorders>
              <w:top w:val="nil"/>
              <w:left w:val="nil"/>
              <w:bottom w:val="single" w:color="auto" w:sz="4" w:space="0"/>
              <w:right w:val="nil"/>
            </w:tcBorders>
          </w:tcPr>
          <w:p w14:paraId="1544CCFD">
            <w:pPr>
              <w:pStyle w:val="69"/>
              <w:spacing w:line="360" w:lineRule="auto"/>
              <w:rPr>
                <w:rFonts w:ascii="Times New Roman" w:hAnsi="Times New Roman"/>
                <w:color w:val="000000"/>
                <w:sz w:val="20"/>
                <w:szCs w:val="20"/>
              </w:rPr>
            </w:pPr>
            <w:r>
              <w:rPr>
                <w:rFonts w:ascii="Times New Roman" w:hAnsi="Times New Roman"/>
                <w:color w:val="000000"/>
                <w:sz w:val="20"/>
                <w:szCs w:val="20"/>
              </w:rPr>
              <w:t>(1.646914)</w:t>
            </w:r>
          </w:p>
        </w:tc>
        <w:tc>
          <w:tcPr>
            <w:tcW w:w="888" w:type="pct"/>
            <w:tcBorders>
              <w:top w:val="nil"/>
              <w:left w:val="nil"/>
              <w:bottom w:val="single" w:color="auto" w:sz="4" w:space="0"/>
              <w:right w:val="nil"/>
            </w:tcBorders>
          </w:tcPr>
          <w:p w14:paraId="0B78B3FF">
            <w:pPr>
              <w:pStyle w:val="69"/>
              <w:spacing w:line="360" w:lineRule="auto"/>
              <w:rPr>
                <w:rFonts w:ascii="Times New Roman" w:hAnsi="Times New Roman"/>
                <w:color w:val="000000"/>
                <w:sz w:val="20"/>
                <w:szCs w:val="20"/>
              </w:rPr>
            </w:pPr>
            <w:r>
              <w:rPr>
                <w:rFonts w:ascii="Times New Roman" w:hAnsi="Times New Roman"/>
                <w:color w:val="000000"/>
                <w:sz w:val="20"/>
                <w:szCs w:val="20"/>
              </w:rPr>
              <w:t>(8.78318)</w:t>
            </w:r>
          </w:p>
        </w:tc>
        <w:tc>
          <w:tcPr>
            <w:tcW w:w="918" w:type="pct"/>
            <w:tcBorders>
              <w:top w:val="nil"/>
              <w:left w:val="nil"/>
              <w:bottom w:val="single" w:color="auto" w:sz="4" w:space="0"/>
              <w:right w:val="nil"/>
            </w:tcBorders>
          </w:tcPr>
          <w:p w14:paraId="309DE5F3">
            <w:pPr>
              <w:pStyle w:val="69"/>
              <w:spacing w:line="360" w:lineRule="auto"/>
              <w:rPr>
                <w:rFonts w:ascii="Times New Roman" w:hAnsi="Times New Roman"/>
                <w:color w:val="000000"/>
                <w:sz w:val="20"/>
                <w:szCs w:val="20"/>
              </w:rPr>
            </w:pPr>
            <w:r>
              <w:rPr>
                <w:rFonts w:ascii="Times New Roman" w:hAnsi="Times New Roman"/>
                <w:color w:val="000000"/>
                <w:sz w:val="20"/>
                <w:szCs w:val="20"/>
              </w:rPr>
              <w:t>(2.501901)</w:t>
            </w:r>
          </w:p>
        </w:tc>
        <w:tc>
          <w:tcPr>
            <w:tcW w:w="917" w:type="pct"/>
            <w:tcBorders>
              <w:top w:val="nil"/>
              <w:left w:val="nil"/>
              <w:bottom w:val="single" w:color="auto" w:sz="4" w:space="0"/>
              <w:right w:val="nil"/>
            </w:tcBorders>
          </w:tcPr>
          <w:p w14:paraId="348B6A7A">
            <w:pPr>
              <w:pStyle w:val="69"/>
              <w:spacing w:line="360" w:lineRule="auto"/>
              <w:rPr>
                <w:rFonts w:ascii="Times New Roman" w:hAnsi="Times New Roman"/>
                <w:color w:val="000000"/>
                <w:sz w:val="20"/>
                <w:szCs w:val="20"/>
              </w:rPr>
            </w:pPr>
            <w:r>
              <w:rPr>
                <w:rFonts w:ascii="Times New Roman" w:hAnsi="Times New Roman"/>
                <w:color w:val="000000"/>
                <w:sz w:val="20"/>
                <w:szCs w:val="20"/>
              </w:rPr>
              <w:t>(6.546999)</w:t>
            </w:r>
          </w:p>
        </w:tc>
      </w:tr>
      <w:tr w14:paraId="6C0CDEF6">
        <w:trPr>
          <w:trHeight w:val="411" w:hRule="atLeast"/>
        </w:trPr>
        <w:tc>
          <w:tcPr>
            <w:tcW w:w="816" w:type="pct"/>
            <w:tcBorders>
              <w:top w:val="single" w:color="auto" w:sz="4" w:space="0"/>
              <w:left w:val="nil"/>
              <w:bottom w:val="nil"/>
              <w:right w:val="nil"/>
            </w:tcBorders>
          </w:tcPr>
          <w:p w14:paraId="591DEAF4">
            <w:pPr>
              <w:pStyle w:val="69"/>
              <w:spacing w:line="360" w:lineRule="auto"/>
              <w:rPr>
                <w:rFonts w:ascii="Times New Roman" w:hAnsi="Times New Roman"/>
                <w:color w:val="000000"/>
                <w:sz w:val="20"/>
                <w:szCs w:val="20"/>
              </w:rPr>
            </w:pPr>
            <m:oMathPara>
              <m:oMathParaPr>
                <m:jc m:val="left"/>
              </m:oMathParaPr>
              <m:oMath>
                <m:sSup>
                  <m:sSupPr>
                    <m:ctrlPr>
                      <w:rPr>
                        <w:rFonts w:ascii="Cambria Math" w:hAnsi="Cambria Math"/>
                        <w:i/>
                        <w:color w:val="000000"/>
                        <w:sz w:val="20"/>
                        <w:szCs w:val="20"/>
                      </w:rPr>
                    </m:ctrlPr>
                  </m:sSupPr>
                  <m:e>
                    <m:r>
                      <m:rPr/>
                      <w:rPr>
                        <w:rFonts w:ascii="Cambria Math" w:hAnsi="Cambria Math"/>
                        <w:color w:val="000000"/>
                        <w:sz w:val="20"/>
                        <w:szCs w:val="20"/>
                      </w:rPr>
                      <m:t>R</m:t>
                    </m:r>
                    <m:ctrlPr>
                      <w:rPr>
                        <w:rFonts w:ascii="Cambria Math" w:hAnsi="Cambria Math"/>
                        <w:i/>
                        <w:color w:val="000000"/>
                        <w:sz w:val="20"/>
                        <w:szCs w:val="20"/>
                      </w:rPr>
                    </m:ctrlPr>
                  </m:e>
                  <m:sup>
                    <m:r>
                      <m:rPr/>
                      <w:rPr>
                        <w:rFonts w:ascii="Cambria Math" w:hAnsi="Cambria Math"/>
                        <w:color w:val="000000"/>
                        <w:sz w:val="20"/>
                        <w:szCs w:val="20"/>
                      </w:rPr>
                      <m:t>2</m:t>
                    </m:r>
                    <m:ctrlPr>
                      <w:rPr>
                        <w:rFonts w:ascii="Cambria Math" w:hAnsi="Cambria Math"/>
                        <w:i/>
                        <w:color w:val="000000"/>
                        <w:sz w:val="20"/>
                        <w:szCs w:val="20"/>
                      </w:rPr>
                    </m:ctrlPr>
                  </m:sup>
                </m:sSup>
              </m:oMath>
            </m:oMathPara>
          </w:p>
        </w:tc>
        <w:tc>
          <w:tcPr>
            <w:tcW w:w="731" w:type="pct"/>
            <w:tcBorders>
              <w:top w:val="single" w:color="auto" w:sz="4" w:space="0"/>
              <w:left w:val="nil"/>
              <w:bottom w:val="nil"/>
              <w:right w:val="nil"/>
            </w:tcBorders>
          </w:tcPr>
          <w:p w14:paraId="6BCB7864">
            <w:pPr>
              <w:pStyle w:val="69"/>
              <w:spacing w:line="360" w:lineRule="auto"/>
              <w:rPr>
                <w:rFonts w:ascii="Times New Roman" w:hAnsi="Times New Roman"/>
                <w:color w:val="000000"/>
                <w:sz w:val="20"/>
                <w:szCs w:val="20"/>
              </w:rPr>
            </w:pPr>
            <w:r>
              <w:rPr>
                <w:rFonts w:ascii="Times New Roman" w:hAnsi="Times New Roman"/>
                <w:color w:val="000000"/>
                <w:sz w:val="20"/>
                <w:szCs w:val="20"/>
              </w:rPr>
              <w:t>0.4905</w:t>
            </w:r>
          </w:p>
        </w:tc>
        <w:tc>
          <w:tcPr>
            <w:tcW w:w="730" w:type="pct"/>
            <w:tcBorders>
              <w:top w:val="single" w:color="auto" w:sz="4" w:space="0"/>
              <w:left w:val="nil"/>
              <w:bottom w:val="nil"/>
              <w:right w:val="nil"/>
            </w:tcBorders>
          </w:tcPr>
          <w:p w14:paraId="77D687CA">
            <w:pPr>
              <w:pStyle w:val="69"/>
              <w:spacing w:line="360" w:lineRule="auto"/>
              <w:rPr>
                <w:rFonts w:ascii="Times New Roman" w:hAnsi="Times New Roman"/>
                <w:color w:val="000000"/>
                <w:sz w:val="20"/>
                <w:szCs w:val="20"/>
              </w:rPr>
            </w:pPr>
            <w:r>
              <w:rPr>
                <w:rFonts w:ascii="Times New Roman" w:hAnsi="Times New Roman"/>
                <w:color w:val="000000"/>
                <w:sz w:val="20"/>
                <w:szCs w:val="20"/>
              </w:rPr>
              <w:t>0.3132</w:t>
            </w:r>
          </w:p>
        </w:tc>
        <w:tc>
          <w:tcPr>
            <w:tcW w:w="888" w:type="pct"/>
            <w:tcBorders>
              <w:top w:val="single" w:color="auto" w:sz="4" w:space="0"/>
              <w:left w:val="nil"/>
              <w:bottom w:val="nil"/>
              <w:right w:val="nil"/>
            </w:tcBorders>
          </w:tcPr>
          <w:p w14:paraId="7C244D23">
            <w:pPr>
              <w:pStyle w:val="69"/>
              <w:spacing w:line="360" w:lineRule="auto"/>
              <w:rPr>
                <w:rFonts w:ascii="Times New Roman" w:hAnsi="Times New Roman"/>
                <w:color w:val="000000"/>
                <w:sz w:val="20"/>
                <w:szCs w:val="20"/>
              </w:rPr>
            </w:pPr>
            <w:r>
              <w:rPr>
                <w:rFonts w:ascii="Times New Roman" w:hAnsi="Times New Roman"/>
                <w:color w:val="000000"/>
                <w:sz w:val="20"/>
                <w:szCs w:val="20"/>
              </w:rPr>
              <w:t>0.6217</w:t>
            </w:r>
          </w:p>
        </w:tc>
        <w:tc>
          <w:tcPr>
            <w:tcW w:w="918" w:type="pct"/>
            <w:tcBorders>
              <w:top w:val="single" w:color="auto" w:sz="4" w:space="0"/>
              <w:left w:val="nil"/>
              <w:bottom w:val="nil"/>
              <w:right w:val="nil"/>
            </w:tcBorders>
          </w:tcPr>
          <w:p w14:paraId="17B02231">
            <w:pPr>
              <w:pStyle w:val="69"/>
              <w:spacing w:line="360" w:lineRule="auto"/>
              <w:rPr>
                <w:rFonts w:ascii="Times New Roman" w:hAnsi="Times New Roman"/>
                <w:color w:val="000000"/>
                <w:sz w:val="20"/>
                <w:szCs w:val="20"/>
              </w:rPr>
            </w:pPr>
            <w:r>
              <w:rPr>
                <w:rFonts w:ascii="Times New Roman" w:hAnsi="Times New Roman"/>
                <w:color w:val="000000"/>
                <w:sz w:val="20"/>
                <w:szCs w:val="20"/>
              </w:rPr>
              <w:t>0.1932</w:t>
            </w:r>
          </w:p>
        </w:tc>
        <w:tc>
          <w:tcPr>
            <w:tcW w:w="917" w:type="pct"/>
            <w:tcBorders>
              <w:top w:val="single" w:color="auto" w:sz="4" w:space="0"/>
              <w:left w:val="nil"/>
              <w:bottom w:val="nil"/>
              <w:right w:val="nil"/>
            </w:tcBorders>
          </w:tcPr>
          <w:p w14:paraId="5B1C699F">
            <w:pPr>
              <w:pStyle w:val="69"/>
              <w:spacing w:line="360" w:lineRule="auto"/>
              <w:rPr>
                <w:rFonts w:ascii="Times New Roman" w:hAnsi="Times New Roman"/>
                <w:color w:val="000000"/>
                <w:sz w:val="20"/>
                <w:szCs w:val="20"/>
              </w:rPr>
            </w:pPr>
            <w:r>
              <w:rPr>
                <w:rFonts w:ascii="Times New Roman" w:hAnsi="Times New Roman"/>
                <w:color w:val="000000"/>
                <w:sz w:val="20"/>
                <w:szCs w:val="20"/>
              </w:rPr>
              <w:t>0.2211</w:t>
            </w:r>
          </w:p>
        </w:tc>
      </w:tr>
      <w:tr w14:paraId="4C7BB142">
        <w:trPr>
          <w:trHeight w:val="411" w:hRule="atLeast"/>
        </w:trPr>
        <w:tc>
          <w:tcPr>
            <w:tcW w:w="816" w:type="pct"/>
            <w:tcBorders>
              <w:top w:val="single" w:color="auto" w:sz="4" w:space="0"/>
              <w:left w:val="nil"/>
              <w:bottom w:val="nil"/>
              <w:right w:val="nil"/>
            </w:tcBorders>
          </w:tcPr>
          <w:p w14:paraId="44D27A47">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731" w:type="pct"/>
            <w:tcBorders>
              <w:top w:val="single" w:color="auto" w:sz="4" w:space="0"/>
              <w:left w:val="nil"/>
              <w:bottom w:val="nil"/>
              <w:right w:val="nil"/>
            </w:tcBorders>
          </w:tcPr>
          <w:p w14:paraId="59A9D9D2">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730" w:type="pct"/>
            <w:tcBorders>
              <w:top w:val="single" w:color="auto" w:sz="4" w:space="0"/>
              <w:left w:val="nil"/>
              <w:bottom w:val="nil"/>
              <w:right w:val="nil"/>
            </w:tcBorders>
          </w:tcPr>
          <w:p w14:paraId="641639EF">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88" w:type="pct"/>
            <w:tcBorders>
              <w:top w:val="single" w:color="auto" w:sz="4" w:space="0"/>
              <w:left w:val="nil"/>
              <w:bottom w:val="nil"/>
              <w:right w:val="nil"/>
            </w:tcBorders>
          </w:tcPr>
          <w:p w14:paraId="43B96E33">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18" w:type="pct"/>
            <w:tcBorders>
              <w:top w:val="single" w:color="auto" w:sz="4" w:space="0"/>
              <w:left w:val="nil"/>
              <w:bottom w:val="nil"/>
              <w:right w:val="nil"/>
            </w:tcBorders>
          </w:tcPr>
          <w:p w14:paraId="3BC57557">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17" w:type="pct"/>
            <w:tcBorders>
              <w:top w:val="single" w:color="auto" w:sz="4" w:space="0"/>
              <w:left w:val="nil"/>
              <w:bottom w:val="nil"/>
              <w:right w:val="nil"/>
            </w:tcBorders>
          </w:tcPr>
          <w:p w14:paraId="21336A24">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215358C2">
        <w:trPr>
          <w:trHeight w:val="411" w:hRule="atLeast"/>
        </w:trPr>
        <w:tc>
          <w:tcPr>
            <w:tcW w:w="816" w:type="pct"/>
            <w:tcBorders>
              <w:top w:val="nil"/>
              <w:left w:val="nil"/>
              <w:bottom w:val="single" w:color="000000" w:sz="4" w:space="0"/>
              <w:right w:val="nil"/>
            </w:tcBorders>
          </w:tcPr>
          <w:p w14:paraId="404C0413">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731" w:type="pct"/>
            <w:tcBorders>
              <w:top w:val="nil"/>
              <w:left w:val="nil"/>
              <w:bottom w:val="single" w:color="000000" w:sz="4" w:space="0"/>
              <w:right w:val="nil"/>
            </w:tcBorders>
          </w:tcPr>
          <w:p w14:paraId="3F45113D">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730" w:type="pct"/>
            <w:tcBorders>
              <w:top w:val="nil"/>
              <w:left w:val="nil"/>
              <w:bottom w:val="single" w:color="000000" w:sz="4" w:space="0"/>
              <w:right w:val="nil"/>
            </w:tcBorders>
          </w:tcPr>
          <w:p w14:paraId="57B31DD0">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88" w:type="pct"/>
            <w:tcBorders>
              <w:top w:val="nil"/>
              <w:left w:val="nil"/>
              <w:bottom w:val="single" w:color="000000" w:sz="4" w:space="0"/>
              <w:right w:val="nil"/>
            </w:tcBorders>
          </w:tcPr>
          <w:p w14:paraId="0D8B8770">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18" w:type="pct"/>
            <w:tcBorders>
              <w:top w:val="nil"/>
              <w:left w:val="nil"/>
              <w:bottom w:val="single" w:color="000000" w:sz="4" w:space="0"/>
              <w:right w:val="nil"/>
            </w:tcBorders>
          </w:tcPr>
          <w:p w14:paraId="3CD7831E">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17" w:type="pct"/>
            <w:tcBorders>
              <w:top w:val="nil"/>
              <w:left w:val="nil"/>
              <w:bottom w:val="single" w:color="000000" w:sz="4" w:space="0"/>
              <w:right w:val="nil"/>
            </w:tcBorders>
          </w:tcPr>
          <w:p w14:paraId="32CDEEEA">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tbl>
    <w:p w14:paraId="3B20D1F1">
      <w:pPr>
        <w:spacing w:after="468" w:afterLines="150"/>
        <w:rPr>
          <w:rFonts w:hint="default" w:ascii="Times New Roman" w:hAnsi="Times New Roman" w:cs="Times New Roman"/>
          <w:b w:val="0"/>
          <w:bCs/>
          <w:color w:val="000000"/>
        </w:rPr>
      </w:pPr>
      <w:r>
        <w:rPr>
          <w:rFonts w:cs="Times New Roman"/>
          <w:b/>
          <w:bCs w:val="0"/>
          <w:color w:val="000000"/>
        </w:rPr>
        <w:br w:type="textWrapping"/>
      </w:r>
    </w:p>
    <w:p w14:paraId="7522D301">
      <w:pPr>
        <w:pStyle w:val="7"/>
      </w:pPr>
      <w:bookmarkStart w:id="123" w:name="_Toc216867798"/>
      <w:r>
        <w:t xml:space="preserve">Table </w:t>
      </w:r>
      <w:r>
        <w:rPr>
          <w:rFonts w:hint="eastAsia" w:eastAsia="宋体"/>
          <w:lang w:val="en-US" w:eastAsia="zh-CN"/>
        </w:rPr>
        <w:t>9</w:t>
      </w:r>
      <w:r>
        <w:t xml:space="preserve"> Robustness Check with TEI_agri L1 (Model 2)</w:t>
      </w:r>
      <w:bookmarkEnd w:id="123"/>
    </w:p>
    <w:tbl>
      <w:tblPr>
        <w:tblStyle w:val="2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45"/>
        <w:gridCol w:w="4191"/>
      </w:tblGrid>
      <w:tr w14:paraId="538D2283">
        <w:trPr>
          <w:jc w:val="center"/>
        </w:trPr>
        <w:tc>
          <w:tcPr>
            <w:tcW w:w="2516" w:type="pct"/>
            <w:tcBorders>
              <w:top w:val="single" w:color="auto" w:sz="4" w:space="0"/>
              <w:left w:val="nil"/>
              <w:bottom w:val="nil"/>
              <w:right w:val="nil"/>
            </w:tcBorders>
          </w:tcPr>
          <w:p w14:paraId="5405C001">
            <w:pPr>
              <w:pStyle w:val="69"/>
              <w:spacing w:line="360" w:lineRule="auto"/>
              <w:rPr>
                <w:rFonts w:ascii="Times New Roman" w:hAnsi="Times New Roman"/>
                <w:color w:val="000000"/>
                <w:sz w:val="20"/>
                <w:szCs w:val="20"/>
              </w:rPr>
            </w:pPr>
            <w:bookmarkStart w:id="124" w:name="OLE_LINK63"/>
            <w:r>
              <w:rPr>
                <w:rFonts w:ascii="Times New Roman" w:hAnsi="Times New Roman"/>
                <w:color w:val="000000"/>
                <w:sz w:val="20"/>
                <w:szCs w:val="20"/>
              </w:rPr>
              <w:t>Dependent variable</w:t>
            </w:r>
          </w:p>
        </w:tc>
        <w:tc>
          <w:tcPr>
            <w:tcW w:w="2484" w:type="pct"/>
            <w:tcBorders>
              <w:top w:val="single" w:color="auto" w:sz="4" w:space="0"/>
              <w:left w:val="nil"/>
              <w:bottom w:val="single" w:color="auto" w:sz="4" w:space="0"/>
              <w:right w:val="nil"/>
            </w:tcBorders>
            <w:vAlign w:val="center"/>
          </w:tcPr>
          <w:p w14:paraId="7BA3BCC1">
            <w:pPr>
              <w:pStyle w:val="69"/>
              <w:spacing w:line="360" w:lineRule="auto"/>
              <w:rPr>
                <w:rFonts w:ascii="Times New Roman" w:hAnsi="Times New Roman"/>
                <w:color w:val="000000"/>
                <w:sz w:val="20"/>
                <w:szCs w:val="20"/>
              </w:rPr>
            </w:pPr>
            <w:r>
              <w:rPr>
                <w:rFonts w:ascii="Times New Roman" w:hAnsi="Times New Roman"/>
                <w:color w:val="000000"/>
                <w:sz w:val="20"/>
                <w:szCs w:val="20"/>
              </w:rPr>
              <w:t>(1) GCF</w:t>
            </w:r>
          </w:p>
        </w:tc>
      </w:tr>
      <w:tr w14:paraId="42F2722D">
        <w:trPr>
          <w:jc w:val="center"/>
        </w:trPr>
        <w:tc>
          <w:tcPr>
            <w:tcW w:w="2516" w:type="pct"/>
            <w:tcBorders>
              <w:top w:val="nil"/>
              <w:left w:val="nil"/>
              <w:bottom w:val="nil"/>
              <w:right w:val="nil"/>
            </w:tcBorders>
          </w:tcPr>
          <w:p w14:paraId="6871D2BB">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2484" w:type="pct"/>
            <w:tcBorders>
              <w:top w:val="single" w:color="auto" w:sz="4" w:space="0"/>
              <w:left w:val="nil"/>
              <w:bottom w:val="single" w:color="auto" w:sz="4" w:space="0"/>
              <w:right w:val="nil"/>
            </w:tcBorders>
            <w:vAlign w:val="center"/>
          </w:tcPr>
          <w:p w14:paraId="71AE3349">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66245519">
        <w:trPr>
          <w:jc w:val="center"/>
        </w:trPr>
        <w:tc>
          <w:tcPr>
            <w:tcW w:w="2516" w:type="pct"/>
            <w:tcBorders>
              <w:top w:val="single" w:color="auto" w:sz="4" w:space="0"/>
              <w:left w:val="nil"/>
              <w:bottom w:val="nil"/>
              <w:right w:val="nil"/>
            </w:tcBorders>
          </w:tcPr>
          <w:p w14:paraId="6A130F86">
            <w:pPr>
              <w:pStyle w:val="69"/>
              <w:spacing w:line="360" w:lineRule="auto"/>
              <w:rPr>
                <w:rFonts w:ascii="Times New Roman" w:hAnsi="Times New Roman"/>
                <w:color w:val="000000"/>
                <w:sz w:val="20"/>
                <w:szCs w:val="20"/>
              </w:rPr>
            </w:pPr>
            <w:r>
              <w:rPr>
                <w:rFonts w:ascii="Times New Roman" w:hAnsi="Times New Roman"/>
                <w:color w:val="000000"/>
                <w:sz w:val="20"/>
                <w:szCs w:val="20"/>
              </w:rPr>
              <w:t>TEI_agri L1</w:t>
            </w:r>
          </w:p>
        </w:tc>
        <w:tc>
          <w:tcPr>
            <w:tcW w:w="2484" w:type="pct"/>
            <w:tcBorders>
              <w:top w:val="single" w:color="auto" w:sz="4" w:space="0"/>
              <w:left w:val="nil"/>
              <w:bottom w:val="nil"/>
              <w:right w:val="nil"/>
            </w:tcBorders>
          </w:tcPr>
          <w:p w14:paraId="78476616">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-0.0187988 **</w:t>
            </w:r>
          </w:p>
        </w:tc>
      </w:tr>
      <w:tr w14:paraId="78912AAD">
        <w:trPr>
          <w:jc w:val="center"/>
        </w:trPr>
        <w:tc>
          <w:tcPr>
            <w:tcW w:w="2516" w:type="pct"/>
            <w:tcBorders>
              <w:top w:val="nil"/>
              <w:left w:val="nil"/>
              <w:bottom w:val="nil"/>
              <w:right w:val="nil"/>
            </w:tcBorders>
          </w:tcPr>
          <w:p w14:paraId="1AE18AB5">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59930770">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(0.0060164)</w:t>
            </w:r>
          </w:p>
        </w:tc>
      </w:tr>
      <w:tr w14:paraId="7985AF9A">
        <w:trPr>
          <w:jc w:val="center"/>
        </w:trPr>
        <w:tc>
          <w:tcPr>
            <w:tcW w:w="2516" w:type="pct"/>
            <w:tcBorders>
              <w:top w:val="nil"/>
              <w:left w:val="nil"/>
              <w:bottom w:val="nil"/>
              <w:right w:val="nil"/>
            </w:tcBorders>
          </w:tcPr>
          <w:p w14:paraId="741F2AA0">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2484" w:type="pct"/>
            <w:tcBorders>
              <w:top w:val="nil"/>
              <w:left w:val="nil"/>
              <w:bottom w:val="nil"/>
              <w:right w:val="nil"/>
            </w:tcBorders>
          </w:tcPr>
          <w:p w14:paraId="6AB33F06">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0.0245991</w:t>
            </w:r>
          </w:p>
        </w:tc>
      </w:tr>
      <w:tr w14:paraId="6058F4C3">
        <w:trPr>
          <w:jc w:val="center"/>
        </w:trPr>
        <w:tc>
          <w:tcPr>
            <w:tcW w:w="2516" w:type="pct"/>
            <w:tcBorders>
              <w:top w:val="nil"/>
              <w:left w:val="nil"/>
              <w:bottom w:val="nil"/>
              <w:right w:val="nil"/>
            </w:tcBorders>
          </w:tcPr>
          <w:p w14:paraId="18AEB2C4">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010CBA6F">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(0.0596545)</w:t>
            </w:r>
          </w:p>
        </w:tc>
      </w:tr>
      <w:tr w14:paraId="1342E9E6">
        <w:trPr>
          <w:trHeight w:val="90" w:hRule="atLeast"/>
          <w:jc w:val="center"/>
        </w:trPr>
        <w:tc>
          <w:tcPr>
            <w:tcW w:w="2516" w:type="pct"/>
            <w:tcBorders>
              <w:top w:val="nil"/>
              <w:left w:val="nil"/>
              <w:bottom w:val="nil"/>
              <w:right w:val="nil"/>
            </w:tcBorders>
          </w:tcPr>
          <w:p w14:paraId="4FB2BEC6">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2484" w:type="pct"/>
            <w:tcBorders>
              <w:top w:val="nil"/>
              <w:left w:val="nil"/>
              <w:bottom w:val="nil"/>
              <w:right w:val="nil"/>
            </w:tcBorders>
          </w:tcPr>
          <w:p w14:paraId="174D806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2.40356**</w:t>
            </w:r>
          </w:p>
        </w:tc>
      </w:tr>
      <w:tr w14:paraId="3D7FCD71">
        <w:trPr>
          <w:jc w:val="center"/>
        </w:trPr>
        <w:tc>
          <w:tcPr>
            <w:tcW w:w="2516" w:type="pct"/>
            <w:tcBorders>
              <w:top w:val="nil"/>
              <w:left w:val="nil"/>
              <w:bottom w:val="nil"/>
              <w:right w:val="nil"/>
            </w:tcBorders>
          </w:tcPr>
          <w:p w14:paraId="0913DC2C">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59F23FA0">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(0.8551224)</w:t>
            </w:r>
          </w:p>
        </w:tc>
      </w:tr>
      <w:tr w14:paraId="0F9FC355">
        <w:trPr>
          <w:jc w:val="center"/>
        </w:trPr>
        <w:tc>
          <w:tcPr>
            <w:tcW w:w="2516" w:type="pct"/>
            <w:tcBorders>
              <w:top w:val="nil"/>
              <w:left w:val="nil"/>
              <w:bottom w:val="nil"/>
              <w:right w:val="nil"/>
            </w:tcBorders>
          </w:tcPr>
          <w:p w14:paraId="6AF94C9A">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2484" w:type="pct"/>
            <w:tcBorders>
              <w:top w:val="nil"/>
              <w:left w:val="nil"/>
              <w:bottom w:val="nil"/>
              <w:right w:val="nil"/>
            </w:tcBorders>
          </w:tcPr>
          <w:p w14:paraId="78FCA701">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-2.968628</w:t>
            </w:r>
          </w:p>
        </w:tc>
      </w:tr>
      <w:tr w14:paraId="022B7ECD">
        <w:trPr>
          <w:trHeight w:val="411" w:hRule="atLeast"/>
          <w:jc w:val="center"/>
        </w:trPr>
        <w:tc>
          <w:tcPr>
            <w:tcW w:w="2516" w:type="pct"/>
            <w:tcBorders>
              <w:top w:val="nil"/>
              <w:left w:val="nil"/>
              <w:bottom w:val="single" w:color="auto" w:sz="4" w:space="0"/>
              <w:right w:val="nil"/>
            </w:tcBorders>
          </w:tcPr>
          <w:p w14:paraId="7F1551FE">
            <w:pPr>
              <w:pStyle w:val="69"/>
              <w:spacing w:line="360" w:lineRule="auto"/>
              <w:rPr>
                <w:rFonts w:ascii="Times New Roman" w:hAnsi="Times New Roman"/>
                <w:color w:val="000000"/>
                <w:sz w:val="20"/>
                <w:szCs w:val="20"/>
              </w:rPr>
            </w:pPr>
          </w:p>
        </w:tc>
        <w:tc>
          <w:tcPr>
            <w:tcW w:w="2484" w:type="pct"/>
            <w:tcBorders>
              <w:top w:val="nil"/>
              <w:left w:val="nil"/>
              <w:bottom w:val="single" w:color="auto" w:sz="4" w:space="0"/>
              <w:right w:val="nil"/>
            </w:tcBorders>
          </w:tcPr>
          <w:p w14:paraId="6FF76D5D">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(7.850712)</w:t>
            </w:r>
          </w:p>
        </w:tc>
      </w:tr>
      <w:tr w14:paraId="564F75DC">
        <w:trPr>
          <w:trHeight w:val="411" w:hRule="atLeast"/>
          <w:jc w:val="center"/>
        </w:trPr>
        <w:tc>
          <w:tcPr>
            <w:tcW w:w="2516" w:type="pct"/>
            <w:tcBorders>
              <w:top w:val="single" w:color="auto" w:sz="4" w:space="0"/>
              <w:left w:val="nil"/>
              <w:bottom w:val="nil"/>
              <w:right w:val="nil"/>
            </w:tcBorders>
          </w:tcPr>
          <w:p w14:paraId="59AC353E">
            <w:pPr>
              <w:pStyle w:val="69"/>
              <w:autoSpaceDE w:val="0"/>
              <w:spacing w:line="360" w:lineRule="auto"/>
              <w:rPr>
                <w:rFonts w:ascii="Times New Roman" w:hAnsi="Times New Roman"/>
                <w:color w:val="000000"/>
                <w:sz w:val="20"/>
                <w:szCs w:val="20"/>
              </w:rPr>
            </w:pPr>
            <m:oMathPara>
              <m:oMathParaPr>
                <m:jc m:val="left"/>
              </m:oMathParaPr>
              <m:oMath>
                <m:sSup>
                  <m:sSupPr>
                    <m:ctrlPr>
                      <w:rPr>
                        <w:rFonts w:ascii="Cambria Math" w:hAnsi="Cambria Math"/>
                        <w:i/>
                        <w:color w:val="000000"/>
                        <w:sz w:val="20"/>
                        <w:szCs w:val="20"/>
                      </w:rPr>
                    </m:ctrlPr>
                  </m:sSupPr>
                  <m:e>
                    <m:r>
                      <m:rPr/>
                      <w:rPr>
                        <w:rFonts w:ascii="Cambria Math" w:hAnsi="Cambria Math"/>
                        <w:color w:val="000000"/>
                        <w:sz w:val="20"/>
                        <w:szCs w:val="20"/>
                      </w:rPr>
                      <m:t>R</m:t>
                    </m:r>
                    <m:ctrlPr>
                      <w:rPr>
                        <w:rFonts w:ascii="Cambria Math" w:hAnsi="Cambria Math"/>
                        <w:i/>
                        <w:color w:val="000000"/>
                        <w:sz w:val="20"/>
                        <w:szCs w:val="20"/>
                      </w:rPr>
                    </m:ctrlPr>
                  </m:e>
                  <m:sup>
                    <m:r>
                      <m:rPr/>
                      <w:rPr>
                        <w:rFonts w:ascii="Cambria Math" w:hAnsi="Cambria Math"/>
                        <w:color w:val="000000"/>
                        <w:sz w:val="20"/>
                        <w:szCs w:val="20"/>
                      </w:rPr>
                      <m:t>2</m:t>
                    </m:r>
                    <m:ctrlPr>
                      <w:rPr>
                        <w:rFonts w:ascii="Cambria Math" w:hAnsi="Cambria Math"/>
                        <w:i/>
                        <w:color w:val="000000"/>
                        <w:sz w:val="20"/>
                        <w:szCs w:val="20"/>
                      </w:rPr>
                    </m:ctrlPr>
                  </m:sup>
                </m:sSup>
              </m:oMath>
            </m:oMathPara>
          </w:p>
        </w:tc>
        <w:tc>
          <w:tcPr>
            <w:tcW w:w="2484" w:type="pct"/>
            <w:tcBorders>
              <w:top w:val="single" w:color="auto" w:sz="4" w:space="0"/>
              <w:left w:val="nil"/>
              <w:bottom w:val="nil"/>
              <w:right w:val="nil"/>
            </w:tcBorders>
          </w:tcPr>
          <w:p w14:paraId="3E838343">
            <w:pPr>
              <w:pStyle w:val="69"/>
              <w:spacing w:line="360" w:lineRule="auto"/>
              <w:rPr>
                <w:rFonts w:ascii="Times New Roman" w:hAnsi="Times New Roman"/>
                <w:color w:val="000000"/>
                <w:sz w:val="20"/>
                <w:szCs w:val="20"/>
              </w:rPr>
            </w:pPr>
            <w:r>
              <w:rPr>
                <w:rFonts w:ascii="Times New Roman" w:hAnsi="Times New Roman"/>
                <w:color w:val="000000"/>
                <w:sz w:val="20"/>
                <w:szCs w:val="20"/>
              </w:rPr>
              <w:t>0.3208</w:t>
            </w:r>
          </w:p>
        </w:tc>
      </w:tr>
      <w:tr w14:paraId="62B6551A">
        <w:trPr>
          <w:trHeight w:val="411" w:hRule="atLeast"/>
          <w:jc w:val="center"/>
        </w:trPr>
        <w:tc>
          <w:tcPr>
            <w:tcW w:w="2516" w:type="pct"/>
            <w:tcBorders>
              <w:top w:val="single" w:color="auto" w:sz="4" w:space="0"/>
              <w:left w:val="nil"/>
              <w:bottom w:val="nil"/>
              <w:right w:val="nil"/>
            </w:tcBorders>
          </w:tcPr>
          <w:p w14:paraId="41694E91">
            <w:pPr>
              <w:pStyle w:val="69"/>
              <w:autoSpaceDE w:val="0"/>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2484" w:type="pct"/>
            <w:tcBorders>
              <w:top w:val="single" w:color="auto" w:sz="4" w:space="0"/>
              <w:left w:val="nil"/>
              <w:bottom w:val="nil"/>
              <w:right w:val="nil"/>
            </w:tcBorders>
          </w:tcPr>
          <w:p w14:paraId="7FF7DBC0">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20168EAA">
        <w:trPr>
          <w:trHeight w:val="411" w:hRule="atLeast"/>
          <w:jc w:val="center"/>
        </w:trPr>
        <w:tc>
          <w:tcPr>
            <w:tcW w:w="2516" w:type="pct"/>
            <w:tcBorders>
              <w:top w:val="nil"/>
              <w:left w:val="nil"/>
              <w:bottom w:val="single" w:color="000000" w:sz="4" w:space="0"/>
              <w:right w:val="nil"/>
            </w:tcBorders>
          </w:tcPr>
          <w:p w14:paraId="07EBA622">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2484" w:type="pct"/>
            <w:tcBorders>
              <w:top w:val="nil"/>
              <w:left w:val="nil"/>
              <w:bottom w:val="single" w:color="000000" w:sz="4" w:space="0"/>
              <w:right w:val="nil"/>
            </w:tcBorders>
          </w:tcPr>
          <w:p w14:paraId="7651181A">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bookmarkEnd w:id="124"/>
    </w:tbl>
    <w:p w14:paraId="599CDBB3">
      <w:pPr>
        <w:pStyle w:val="7"/>
      </w:pPr>
      <w:bookmarkStart w:id="125" w:name="_Toc216867799"/>
      <w:r>
        <w:t xml:space="preserve">Table </w:t>
      </w:r>
      <w:r>
        <w:rPr>
          <w:rFonts w:hint="eastAsia" w:eastAsia="宋体"/>
          <w:lang w:val="en-US" w:eastAsia="zh-CN"/>
        </w:rPr>
        <w:t>10</w:t>
      </w:r>
      <w:r>
        <w:t xml:space="preserve"> Robustness Check with TEI_agri L1 (Model 3)</w:t>
      </w:r>
      <w:bookmarkEnd w:id="125"/>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3"/>
        <w:gridCol w:w="1232"/>
        <w:gridCol w:w="1390"/>
        <w:gridCol w:w="1424"/>
        <w:gridCol w:w="142"/>
        <w:gridCol w:w="1281"/>
        <w:gridCol w:w="1534"/>
      </w:tblGrid>
      <w:tr w14:paraId="171B3465">
        <w:tc>
          <w:tcPr>
            <w:tcW w:w="850" w:type="pct"/>
            <w:tcBorders>
              <w:top w:val="single" w:color="auto" w:sz="4" w:space="0"/>
              <w:left w:val="nil"/>
              <w:bottom w:val="nil"/>
              <w:right w:val="nil"/>
            </w:tcBorders>
          </w:tcPr>
          <w:p w14:paraId="71A541A2">
            <w:pPr>
              <w:pStyle w:val="22"/>
              <w:widowControl/>
              <w:autoSpaceDE w:val="0"/>
              <w:spacing w:before="100" w:beforeAutospacing="1"/>
              <w:jc w:val="left"/>
              <w:rPr>
                <w:rFonts w:eastAsia="宋体" w:cs="Times New Roman"/>
                <w:color w:val="000000"/>
                <w:sz w:val="20"/>
                <w:szCs w:val="20"/>
              </w:rPr>
            </w:pPr>
            <w:r>
              <w:rPr>
                <w:rFonts w:cs="Times New Roman"/>
                <w:color w:val="000000"/>
                <w:sz w:val="20"/>
                <w:szCs w:val="20"/>
              </w:rPr>
              <w:t>Dependent variable</w:t>
            </w:r>
          </w:p>
        </w:tc>
        <w:tc>
          <w:tcPr>
            <w:tcW w:w="730" w:type="pct"/>
            <w:tcBorders>
              <w:top w:val="single" w:color="auto" w:sz="4" w:space="0"/>
              <w:left w:val="nil"/>
              <w:bottom w:val="single" w:color="auto" w:sz="4" w:space="0"/>
              <w:right w:val="nil"/>
            </w:tcBorders>
            <w:vAlign w:val="center"/>
          </w:tcPr>
          <w:p w14:paraId="6BD3DB5C">
            <w:pPr>
              <w:pStyle w:val="22"/>
              <w:widowControl/>
              <w:autoSpaceDE w:val="0"/>
              <w:spacing w:before="100" w:beforeAutospacing="1"/>
              <w:jc w:val="left"/>
              <w:rPr>
                <w:rFonts w:cs="Times New Roman"/>
                <w:color w:val="000000"/>
                <w:sz w:val="20"/>
                <w:szCs w:val="20"/>
              </w:rPr>
            </w:pPr>
            <w:r>
              <w:rPr>
                <w:rFonts w:cs="Times New Roman"/>
                <w:color w:val="000000"/>
                <w:sz w:val="20"/>
                <w:szCs w:val="20"/>
              </w:rPr>
              <w:t>(1) GDP</w:t>
            </w:r>
          </w:p>
        </w:tc>
        <w:tc>
          <w:tcPr>
            <w:tcW w:w="824" w:type="pct"/>
            <w:tcBorders>
              <w:top w:val="single" w:color="auto" w:sz="4" w:space="0"/>
              <w:left w:val="nil"/>
              <w:bottom w:val="single" w:color="auto" w:sz="4" w:space="0"/>
              <w:right w:val="nil"/>
            </w:tcBorders>
            <w:vAlign w:val="center"/>
          </w:tcPr>
          <w:p w14:paraId="39934DD6">
            <w:pPr>
              <w:pStyle w:val="22"/>
              <w:widowControl/>
              <w:autoSpaceDE w:val="0"/>
              <w:spacing w:before="100" w:beforeAutospacing="1"/>
              <w:jc w:val="left"/>
              <w:rPr>
                <w:rFonts w:cs="Times New Roman"/>
                <w:color w:val="000000"/>
                <w:sz w:val="20"/>
                <w:szCs w:val="20"/>
              </w:rPr>
            </w:pPr>
            <w:r>
              <w:rPr>
                <w:rFonts w:cs="Times New Roman"/>
                <w:color w:val="000000"/>
                <w:sz w:val="20"/>
                <w:szCs w:val="20"/>
              </w:rPr>
              <w:t>(2) UE</w:t>
            </w:r>
          </w:p>
        </w:tc>
        <w:tc>
          <w:tcPr>
            <w:tcW w:w="844" w:type="pct"/>
            <w:tcBorders>
              <w:top w:val="single" w:color="auto" w:sz="4" w:space="0"/>
              <w:left w:val="nil"/>
              <w:bottom w:val="single" w:color="auto" w:sz="4" w:space="0"/>
              <w:right w:val="nil"/>
            </w:tcBorders>
            <w:vAlign w:val="center"/>
          </w:tcPr>
          <w:p w14:paraId="631DD67E">
            <w:pPr>
              <w:pStyle w:val="22"/>
              <w:widowControl/>
              <w:autoSpaceDE w:val="0"/>
              <w:spacing w:before="100" w:beforeAutospacing="1"/>
              <w:jc w:val="left"/>
              <w:rPr>
                <w:rFonts w:cs="Times New Roman"/>
                <w:color w:val="000000"/>
                <w:sz w:val="20"/>
                <w:szCs w:val="20"/>
              </w:rPr>
            </w:pPr>
            <w:r>
              <w:rPr>
                <w:rFonts w:cs="Times New Roman"/>
                <w:color w:val="000000"/>
                <w:sz w:val="20"/>
                <w:szCs w:val="20"/>
              </w:rPr>
              <w:t>(3) AR</w:t>
            </w:r>
          </w:p>
        </w:tc>
        <w:tc>
          <w:tcPr>
            <w:tcW w:w="843" w:type="pct"/>
            <w:gridSpan w:val="2"/>
            <w:tcBorders>
              <w:top w:val="single" w:color="auto" w:sz="4" w:space="0"/>
              <w:left w:val="nil"/>
              <w:bottom w:val="single" w:color="auto" w:sz="4" w:space="0"/>
              <w:right w:val="nil"/>
            </w:tcBorders>
            <w:vAlign w:val="center"/>
          </w:tcPr>
          <w:p w14:paraId="0ABA921E">
            <w:pPr>
              <w:pStyle w:val="22"/>
              <w:widowControl/>
              <w:autoSpaceDE w:val="0"/>
              <w:spacing w:before="100" w:beforeAutospacing="1"/>
              <w:jc w:val="left"/>
              <w:rPr>
                <w:rFonts w:cs="Times New Roman"/>
                <w:color w:val="000000"/>
                <w:sz w:val="20"/>
                <w:szCs w:val="20"/>
              </w:rPr>
            </w:pPr>
            <w:r>
              <w:rPr>
                <w:rFonts w:cs="Times New Roman"/>
                <w:color w:val="000000"/>
                <w:sz w:val="20"/>
                <w:szCs w:val="20"/>
              </w:rPr>
              <w:t>(4) FDI</w:t>
            </w:r>
          </w:p>
        </w:tc>
        <w:tc>
          <w:tcPr>
            <w:tcW w:w="909" w:type="pct"/>
            <w:tcBorders>
              <w:top w:val="single" w:color="auto" w:sz="4" w:space="0"/>
              <w:left w:val="nil"/>
              <w:bottom w:val="single" w:color="auto" w:sz="4" w:space="0"/>
              <w:right w:val="nil"/>
            </w:tcBorders>
            <w:vAlign w:val="center"/>
          </w:tcPr>
          <w:p w14:paraId="3284436B">
            <w:pPr>
              <w:pStyle w:val="22"/>
              <w:widowControl/>
              <w:autoSpaceDE w:val="0"/>
              <w:spacing w:before="100" w:beforeAutospacing="1"/>
              <w:jc w:val="left"/>
              <w:rPr>
                <w:rFonts w:cs="Times New Roman"/>
                <w:color w:val="000000"/>
                <w:sz w:val="20"/>
                <w:szCs w:val="20"/>
              </w:rPr>
            </w:pPr>
            <w:r>
              <w:rPr>
                <w:rFonts w:cs="Times New Roman"/>
                <w:color w:val="000000"/>
                <w:sz w:val="20"/>
                <w:szCs w:val="20"/>
              </w:rPr>
              <w:t>(5) INFLA</w:t>
            </w:r>
          </w:p>
        </w:tc>
      </w:tr>
      <w:tr w14:paraId="55A21DCB">
        <w:tc>
          <w:tcPr>
            <w:tcW w:w="850" w:type="pct"/>
            <w:tcBorders>
              <w:top w:val="nil"/>
              <w:left w:val="nil"/>
              <w:bottom w:val="nil"/>
              <w:right w:val="nil"/>
            </w:tcBorders>
          </w:tcPr>
          <w:p w14:paraId="09B5B5FA">
            <w:pPr>
              <w:pStyle w:val="22"/>
              <w:widowControl/>
              <w:autoSpaceDE w:val="0"/>
              <w:spacing w:before="100" w:beforeAutospacing="1"/>
              <w:jc w:val="left"/>
              <w:rPr>
                <w:rFonts w:cs="Times New Roman"/>
                <w:color w:val="000000"/>
                <w:sz w:val="20"/>
                <w:szCs w:val="20"/>
              </w:rPr>
            </w:pPr>
            <w:r>
              <w:rPr>
                <w:rFonts w:cs="Times New Roman"/>
                <w:color w:val="000000"/>
                <w:sz w:val="20"/>
                <w:szCs w:val="20"/>
              </w:rPr>
              <w:t>Estimation methods</w:t>
            </w:r>
          </w:p>
        </w:tc>
        <w:tc>
          <w:tcPr>
            <w:tcW w:w="730" w:type="pct"/>
            <w:tcBorders>
              <w:top w:val="single" w:color="auto" w:sz="4" w:space="0"/>
              <w:left w:val="nil"/>
              <w:bottom w:val="single" w:color="auto" w:sz="4" w:space="0"/>
              <w:right w:val="nil"/>
            </w:tcBorders>
            <w:vAlign w:val="center"/>
          </w:tcPr>
          <w:p w14:paraId="1B12DC8A">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824" w:type="pct"/>
            <w:tcBorders>
              <w:top w:val="single" w:color="auto" w:sz="4" w:space="0"/>
              <w:left w:val="nil"/>
              <w:bottom w:val="single" w:color="auto" w:sz="4" w:space="0"/>
              <w:right w:val="nil"/>
            </w:tcBorders>
            <w:vAlign w:val="center"/>
          </w:tcPr>
          <w:p w14:paraId="3DA34DC2">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928" w:type="pct"/>
            <w:gridSpan w:val="2"/>
            <w:tcBorders>
              <w:top w:val="single" w:color="auto" w:sz="4" w:space="0"/>
              <w:left w:val="nil"/>
              <w:bottom w:val="single" w:color="auto" w:sz="4" w:space="0"/>
              <w:right w:val="nil"/>
            </w:tcBorders>
            <w:vAlign w:val="center"/>
          </w:tcPr>
          <w:p w14:paraId="3CEAEB16">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759" w:type="pct"/>
            <w:tcBorders>
              <w:top w:val="single" w:color="auto" w:sz="4" w:space="0"/>
              <w:left w:val="nil"/>
              <w:bottom w:val="single" w:color="auto" w:sz="4" w:space="0"/>
              <w:right w:val="nil"/>
            </w:tcBorders>
            <w:vAlign w:val="center"/>
          </w:tcPr>
          <w:p w14:paraId="1B497C24">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909" w:type="pct"/>
            <w:tcBorders>
              <w:top w:val="single" w:color="auto" w:sz="4" w:space="0"/>
              <w:left w:val="nil"/>
              <w:bottom w:val="single" w:color="auto" w:sz="4" w:space="0"/>
              <w:right w:val="nil"/>
            </w:tcBorders>
            <w:vAlign w:val="center"/>
          </w:tcPr>
          <w:p w14:paraId="6D2C400D">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r>
      <w:tr w14:paraId="289211E4">
        <w:tc>
          <w:tcPr>
            <w:tcW w:w="850" w:type="pct"/>
            <w:tcBorders>
              <w:top w:val="single" w:color="auto" w:sz="4" w:space="0"/>
              <w:left w:val="nil"/>
              <w:bottom w:val="nil"/>
              <w:right w:val="nil"/>
            </w:tcBorders>
          </w:tcPr>
          <w:p w14:paraId="475DE450">
            <w:pPr>
              <w:pStyle w:val="22"/>
              <w:widowControl/>
              <w:autoSpaceDE w:val="0"/>
              <w:spacing w:before="100" w:beforeAutospacing="1"/>
              <w:jc w:val="left"/>
              <w:rPr>
                <w:rFonts w:cs="Times New Roman"/>
                <w:b/>
                <w:color w:val="000000"/>
                <w:sz w:val="20"/>
                <w:szCs w:val="20"/>
              </w:rPr>
            </w:pPr>
            <w:r>
              <w:rPr>
                <w:rFonts w:cs="Times New Roman"/>
                <w:b/>
                <w:bCs w:val="0"/>
                <w:color w:val="000000"/>
                <w:sz w:val="20"/>
                <w:szCs w:val="20"/>
              </w:rPr>
              <w:t>TEI_agri L1</w:t>
            </w:r>
          </w:p>
        </w:tc>
        <w:tc>
          <w:tcPr>
            <w:tcW w:w="730" w:type="pct"/>
            <w:tcBorders>
              <w:top w:val="single" w:color="auto" w:sz="4" w:space="0"/>
              <w:left w:val="nil"/>
              <w:bottom w:val="nil"/>
              <w:right w:val="nil"/>
            </w:tcBorders>
          </w:tcPr>
          <w:p w14:paraId="780CBCA8">
            <w:pPr>
              <w:pStyle w:val="22"/>
              <w:widowControl/>
              <w:autoSpaceDE w:val="0"/>
              <w:spacing w:before="100" w:beforeAutospacing="1"/>
              <w:jc w:val="left"/>
              <w:rPr>
                <w:rFonts w:cs="Times New Roman"/>
                <w:bCs w:val="0"/>
                <w:color w:val="000000"/>
                <w:sz w:val="20"/>
                <w:szCs w:val="20"/>
              </w:rPr>
            </w:pPr>
            <w:r>
              <w:rPr>
                <w:rFonts w:cs="Times New Roman"/>
                <w:color w:val="000000"/>
                <w:sz w:val="20"/>
                <w:szCs w:val="20"/>
              </w:rPr>
              <w:t>0.0072561*</w:t>
            </w:r>
          </w:p>
        </w:tc>
        <w:tc>
          <w:tcPr>
            <w:tcW w:w="824" w:type="pct"/>
            <w:tcBorders>
              <w:top w:val="single" w:color="auto" w:sz="4" w:space="0"/>
              <w:left w:val="nil"/>
              <w:bottom w:val="nil"/>
              <w:right w:val="nil"/>
            </w:tcBorders>
          </w:tcPr>
          <w:p w14:paraId="1BAE72F1">
            <w:pPr>
              <w:pStyle w:val="22"/>
              <w:widowControl/>
              <w:autoSpaceDE w:val="0"/>
              <w:spacing w:before="100" w:beforeAutospacing="1"/>
              <w:jc w:val="left"/>
              <w:rPr>
                <w:rFonts w:cs="Times New Roman"/>
                <w:color w:val="000000"/>
                <w:sz w:val="20"/>
                <w:szCs w:val="20"/>
              </w:rPr>
            </w:pPr>
            <w:r>
              <w:rPr>
                <w:rFonts w:cs="Times New Roman"/>
                <w:color w:val="000000"/>
                <w:sz w:val="20"/>
                <w:szCs w:val="20"/>
              </w:rPr>
              <w:t>-0.00225</w:t>
            </w:r>
          </w:p>
        </w:tc>
        <w:tc>
          <w:tcPr>
            <w:tcW w:w="844" w:type="pct"/>
            <w:tcBorders>
              <w:top w:val="single" w:color="auto" w:sz="4" w:space="0"/>
              <w:left w:val="nil"/>
              <w:bottom w:val="nil"/>
              <w:right w:val="nil"/>
            </w:tcBorders>
          </w:tcPr>
          <w:p w14:paraId="0E7C4F69">
            <w:pPr>
              <w:pStyle w:val="22"/>
              <w:widowControl/>
              <w:autoSpaceDE w:val="0"/>
              <w:spacing w:before="100" w:beforeAutospacing="1"/>
              <w:rPr>
                <w:rFonts w:cs="Times New Roman"/>
                <w:color w:val="000000"/>
                <w:sz w:val="20"/>
                <w:szCs w:val="20"/>
              </w:rPr>
            </w:pPr>
            <w:r>
              <w:rPr>
                <w:rFonts w:cs="Times New Roman"/>
                <w:color w:val="000000"/>
                <w:sz w:val="20"/>
                <w:szCs w:val="20"/>
              </w:rPr>
              <w:t>0.003517</w:t>
            </w:r>
          </w:p>
        </w:tc>
        <w:tc>
          <w:tcPr>
            <w:tcW w:w="843" w:type="pct"/>
            <w:gridSpan w:val="2"/>
            <w:tcBorders>
              <w:top w:val="single" w:color="auto" w:sz="4" w:space="0"/>
              <w:left w:val="nil"/>
              <w:bottom w:val="nil"/>
              <w:right w:val="nil"/>
            </w:tcBorders>
          </w:tcPr>
          <w:p w14:paraId="51FF2A0A">
            <w:pPr>
              <w:pStyle w:val="22"/>
              <w:widowControl/>
              <w:autoSpaceDE w:val="0"/>
              <w:spacing w:before="100" w:beforeAutospacing="1"/>
              <w:jc w:val="left"/>
              <w:rPr>
                <w:rFonts w:cs="Times New Roman"/>
                <w:color w:val="000000"/>
                <w:sz w:val="20"/>
                <w:szCs w:val="20"/>
              </w:rPr>
            </w:pPr>
            <w:r>
              <w:rPr>
                <w:rFonts w:cs="Times New Roman"/>
                <w:color w:val="000000"/>
                <w:sz w:val="20"/>
                <w:szCs w:val="20"/>
              </w:rPr>
              <w:t>0.0055276*</w:t>
            </w:r>
          </w:p>
        </w:tc>
        <w:tc>
          <w:tcPr>
            <w:tcW w:w="909" w:type="pct"/>
            <w:tcBorders>
              <w:top w:val="single" w:color="auto" w:sz="4" w:space="0"/>
              <w:left w:val="nil"/>
              <w:bottom w:val="nil"/>
              <w:right w:val="nil"/>
            </w:tcBorders>
          </w:tcPr>
          <w:p w14:paraId="44FC92A1">
            <w:pPr>
              <w:pStyle w:val="22"/>
              <w:widowControl/>
              <w:autoSpaceDE w:val="0"/>
              <w:spacing w:before="100" w:beforeAutospacing="1"/>
              <w:jc w:val="left"/>
              <w:rPr>
                <w:rFonts w:cs="Times New Roman"/>
                <w:color w:val="000000"/>
                <w:sz w:val="20"/>
                <w:szCs w:val="20"/>
              </w:rPr>
            </w:pPr>
            <w:r>
              <w:rPr>
                <w:rFonts w:cs="Times New Roman"/>
                <w:color w:val="000000"/>
                <w:sz w:val="20"/>
                <w:szCs w:val="20"/>
              </w:rPr>
              <w:t>-0.0191618**</w:t>
            </w:r>
          </w:p>
        </w:tc>
      </w:tr>
      <w:tr w14:paraId="6D55B760">
        <w:tc>
          <w:tcPr>
            <w:tcW w:w="850" w:type="pct"/>
            <w:tcBorders>
              <w:top w:val="nil"/>
              <w:left w:val="nil"/>
              <w:bottom w:val="nil"/>
              <w:right w:val="nil"/>
            </w:tcBorders>
          </w:tcPr>
          <w:p w14:paraId="06C524C9">
            <w:pPr>
              <w:pStyle w:val="22"/>
              <w:widowControl/>
              <w:autoSpaceDE w:val="0"/>
              <w:spacing w:before="100" w:beforeAutospacing="1"/>
              <w:jc w:val="left"/>
              <w:rPr>
                <w:rFonts w:cs="Times New Roman"/>
                <w:color w:val="000000"/>
                <w:sz w:val="20"/>
                <w:szCs w:val="20"/>
              </w:rPr>
            </w:pPr>
          </w:p>
        </w:tc>
        <w:tc>
          <w:tcPr>
            <w:tcW w:w="730" w:type="pct"/>
            <w:tcBorders>
              <w:top w:val="nil"/>
              <w:left w:val="nil"/>
              <w:bottom w:val="nil"/>
              <w:right w:val="nil"/>
            </w:tcBorders>
          </w:tcPr>
          <w:p w14:paraId="5420D509">
            <w:pPr>
              <w:pStyle w:val="22"/>
              <w:widowControl/>
              <w:autoSpaceDE w:val="0"/>
              <w:spacing w:before="100" w:beforeAutospacing="1"/>
              <w:jc w:val="left"/>
              <w:rPr>
                <w:rFonts w:cs="Times New Roman"/>
                <w:color w:val="000000"/>
                <w:sz w:val="20"/>
                <w:szCs w:val="20"/>
              </w:rPr>
            </w:pPr>
            <w:r>
              <w:rPr>
                <w:rFonts w:cs="Times New Roman"/>
                <w:color w:val="000000"/>
                <w:sz w:val="20"/>
                <w:szCs w:val="20"/>
              </w:rPr>
              <w:t>(0.0035621)</w:t>
            </w:r>
          </w:p>
        </w:tc>
        <w:tc>
          <w:tcPr>
            <w:tcW w:w="824" w:type="pct"/>
            <w:tcBorders>
              <w:top w:val="nil"/>
              <w:left w:val="nil"/>
              <w:bottom w:val="nil"/>
              <w:right w:val="nil"/>
            </w:tcBorders>
          </w:tcPr>
          <w:p w14:paraId="0A99A5F2">
            <w:pPr>
              <w:pStyle w:val="22"/>
              <w:widowControl/>
              <w:autoSpaceDE w:val="0"/>
              <w:spacing w:before="100" w:beforeAutospacing="1"/>
              <w:jc w:val="left"/>
              <w:rPr>
                <w:rFonts w:cs="Times New Roman"/>
                <w:color w:val="000000"/>
                <w:sz w:val="20"/>
                <w:szCs w:val="20"/>
              </w:rPr>
            </w:pPr>
            <w:r>
              <w:rPr>
                <w:rFonts w:cs="Times New Roman"/>
                <w:color w:val="000000"/>
                <w:sz w:val="20"/>
                <w:szCs w:val="20"/>
              </w:rPr>
              <w:t>(0.0012905)</w:t>
            </w:r>
          </w:p>
        </w:tc>
        <w:tc>
          <w:tcPr>
            <w:tcW w:w="844" w:type="pct"/>
            <w:tcBorders>
              <w:top w:val="nil"/>
              <w:left w:val="nil"/>
              <w:bottom w:val="nil"/>
              <w:right w:val="nil"/>
            </w:tcBorders>
          </w:tcPr>
          <w:p w14:paraId="437FE910">
            <w:pPr>
              <w:pStyle w:val="22"/>
              <w:widowControl/>
              <w:autoSpaceDE w:val="0"/>
              <w:spacing w:before="100" w:beforeAutospacing="1"/>
              <w:rPr>
                <w:rFonts w:cs="Times New Roman"/>
                <w:color w:val="000000"/>
                <w:sz w:val="20"/>
                <w:szCs w:val="20"/>
              </w:rPr>
            </w:pPr>
            <w:r>
              <w:rPr>
                <w:rFonts w:cs="Times New Roman"/>
                <w:color w:val="000000"/>
                <w:sz w:val="20"/>
                <w:szCs w:val="20"/>
              </w:rPr>
              <w:t>(0.0064896)</w:t>
            </w:r>
          </w:p>
        </w:tc>
        <w:tc>
          <w:tcPr>
            <w:tcW w:w="843" w:type="pct"/>
            <w:gridSpan w:val="2"/>
            <w:tcBorders>
              <w:top w:val="nil"/>
              <w:left w:val="nil"/>
              <w:bottom w:val="nil"/>
              <w:right w:val="nil"/>
            </w:tcBorders>
          </w:tcPr>
          <w:p w14:paraId="1D1CF4D7">
            <w:pPr>
              <w:pStyle w:val="22"/>
              <w:widowControl/>
              <w:autoSpaceDE w:val="0"/>
              <w:spacing w:before="100" w:beforeAutospacing="1"/>
              <w:jc w:val="left"/>
              <w:rPr>
                <w:rFonts w:cs="Times New Roman"/>
                <w:color w:val="000000"/>
                <w:sz w:val="20"/>
                <w:szCs w:val="20"/>
              </w:rPr>
            </w:pPr>
            <w:r>
              <w:rPr>
                <w:rFonts w:cs="Times New Roman"/>
                <w:color w:val="000000"/>
                <w:sz w:val="20"/>
                <w:szCs w:val="20"/>
              </w:rPr>
              <w:t>(0.0030461)</w:t>
            </w:r>
          </w:p>
        </w:tc>
        <w:tc>
          <w:tcPr>
            <w:tcW w:w="909" w:type="pct"/>
            <w:tcBorders>
              <w:top w:val="nil"/>
              <w:left w:val="nil"/>
              <w:bottom w:val="nil"/>
              <w:right w:val="nil"/>
            </w:tcBorders>
          </w:tcPr>
          <w:p w14:paraId="7AE99067">
            <w:pPr>
              <w:pStyle w:val="22"/>
              <w:widowControl/>
              <w:autoSpaceDE w:val="0"/>
              <w:spacing w:before="100" w:beforeAutospacing="1"/>
              <w:jc w:val="left"/>
              <w:rPr>
                <w:rFonts w:cs="Times New Roman"/>
                <w:color w:val="000000"/>
                <w:sz w:val="20"/>
                <w:szCs w:val="20"/>
              </w:rPr>
            </w:pPr>
            <w:r>
              <w:rPr>
                <w:rFonts w:cs="Times New Roman"/>
                <w:color w:val="000000"/>
                <w:sz w:val="20"/>
                <w:szCs w:val="20"/>
              </w:rPr>
              <w:t>(0.0079849)</w:t>
            </w:r>
          </w:p>
        </w:tc>
      </w:tr>
      <w:tr w14:paraId="1159ABF9">
        <w:tc>
          <w:tcPr>
            <w:tcW w:w="850" w:type="pct"/>
            <w:tcBorders>
              <w:top w:val="nil"/>
              <w:left w:val="nil"/>
              <w:bottom w:val="nil"/>
              <w:right w:val="nil"/>
            </w:tcBorders>
          </w:tcPr>
          <w:p w14:paraId="0C68D6BD">
            <w:pPr>
              <w:pStyle w:val="22"/>
              <w:widowControl/>
              <w:autoSpaceDE w:val="0"/>
              <w:spacing w:before="100" w:beforeAutospacing="1"/>
              <w:jc w:val="left"/>
              <w:rPr>
                <w:rFonts w:cs="Times New Roman"/>
                <w:b/>
                <w:color w:val="000000"/>
                <w:sz w:val="20"/>
                <w:szCs w:val="20"/>
              </w:rPr>
            </w:pPr>
            <w:r>
              <w:rPr>
                <w:rFonts w:cs="Times New Roman"/>
                <w:b/>
                <w:bCs w:val="0"/>
                <w:color w:val="000000"/>
                <w:sz w:val="20"/>
                <w:szCs w:val="20"/>
              </w:rPr>
              <w:t>GCF</w:t>
            </w:r>
          </w:p>
        </w:tc>
        <w:tc>
          <w:tcPr>
            <w:tcW w:w="730" w:type="pct"/>
            <w:tcBorders>
              <w:top w:val="nil"/>
              <w:left w:val="nil"/>
              <w:bottom w:val="nil"/>
              <w:right w:val="nil"/>
            </w:tcBorders>
          </w:tcPr>
          <w:p w14:paraId="2D02C3B0">
            <w:pPr>
              <w:pStyle w:val="22"/>
              <w:widowControl/>
              <w:autoSpaceDE w:val="0"/>
              <w:spacing w:before="100" w:beforeAutospacing="1"/>
              <w:jc w:val="left"/>
              <w:rPr>
                <w:rFonts w:cs="Times New Roman"/>
                <w:bCs w:val="0"/>
                <w:color w:val="000000"/>
                <w:sz w:val="20"/>
                <w:szCs w:val="20"/>
              </w:rPr>
            </w:pPr>
            <w:r>
              <w:rPr>
                <w:rFonts w:cs="Times New Roman"/>
                <w:color w:val="000000"/>
                <w:sz w:val="20"/>
                <w:szCs w:val="20"/>
              </w:rPr>
              <w:t>-0.0200263</w:t>
            </w:r>
          </w:p>
        </w:tc>
        <w:tc>
          <w:tcPr>
            <w:tcW w:w="824" w:type="pct"/>
            <w:tcBorders>
              <w:top w:val="nil"/>
              <w:left w:val="nil"/>
              <w:bottom w:val="nil"/>
              <w:right w:val="nil"/>
            </w:tcBorders>
          </w:tcPr>
          <w:p w14:paraId="5E1A0529">
            <w:pPr>
              <w:pStyle w:val="22"/>
              <w:widowControl/>
              <w:autoSpaceDE w:val="0"/>
              <w:spacing w:before="100" w:beforeAutospacing="1"/>
              <w:jc w:val="left"/>
              <w:rPr>
                <w:rFonts w:cs="Times New Roman"/>
                <w:color w:val="000000"/>
                <w:sz w:val="20"/>
                <w:szCs w:val="20"/>
              </w:rPr>
            </w:pPr>
            <w:r>
              <w:rPr>
                <w:rFonts w:cs="Times New Roman"/>
                <w:color w:val="000000"/>
                <w:sz w:val="20"/>
                <w:szCs w:val="20"/>
              </w:rPr>
              <w:t>-0.0275617</w:t>
            </w:r>
          </w:p>
        </w:tc>
        <w:tc>
          <w:tcPr>
            <w:tcW w:w="844" w:type="pct"/>
            <w:tcBorders>
              <w:top w:val="nil"/>
              <w:left w:val="nil"/>
              <w:bottom w:val="nil"/>
              <w:right w:val="nil"/>
            </w:tcBorders>
          </w:tcPr>
          <w:p w14:paraId="2744E803">
            <w:pPr>
              <w:pStyle w:val="22"/>
              <w:widowControl/>
              <w:autoSpaceDE w:val="0"/>
              <w:spacing w:before="100" w:beforeAutospacing="1"/>
              <w:rPr>
                <w:rFonts w:cs="Times New Roman"/>
                <w:color w:val="000000"/>
                <w:sz w:val="20"/>
                <w:szCs w:val="20"/>
              </w:rPr>
            </w:pPr>
            <w:r>
              <w:rPr>
                <w:rFonts w:cs="Times New Roman"/>
                <w:color w:val="000000"/>
                <w:sz w:val="20"/>
                <w:szCs w:val="20"/>
              </w:rPr>
              <w:t>-0.433379***</w:t>
            </w:r>
          </w:p>
        </w:tc>
        <w:tc>
          <w:tcPr>
            <w:tcW w:w="843" w:type="pct"/>
            <w:gridSpan w:val="2"/>
            <w:tcBorders>
              <w:top w:val="nil"/>
              <w:left w:val="nil"/>
              <w:bottom w:val="nil"/>
              <w:right w:val="nil"/>
            </w:tcBorders>
          </w:tcPr>
          <w:p w14:paraId="19858712">
            <w:pPr>
              <w:pStyle w:val="22"/>
              <w:widowControl/>
              <w:autoSpaceDE w:val="0"/>
              <w:spacing w:before="100" w:beforeAutospacing="1"/>
              <w:jc w:val="left"/>
              <w:rPr>
                <w:rFonts w:cs="Times New Roman"/>
                <w:color w:val="000000"/>
                <w:sz w:val="20"/>
                <w:szCs w:val="20"/>
              </w:rPr>
            </w:pPr>
            <w:r>
              <w:rPr>
                <w:rFonts w:cs="Times New Roman"/>
                <w:color w:val="000000"/>
                <w:sz w:val="20"/>
                <w:szCs w:val="20"/>
              </w:rPr>
              <w:t>0.0569372**</w:t>
            </w:r>
          </w:p>
        </w:tc>
        <w:tc>
          <w:tcPr>
            <w:tcW w:w="909" w:type="pct"/>
            <w:tcBorders>
              <w:top w:val="nil"/>
              <w:left w:val="nil"/>
              <w:bottom w:val="nil"/>
              <w:right w:val="nil"/>
            </w:tcBorders>
          </w:tcPr>
          <w:p w14:paraId="329B780F">
            <w:pPr>
              <w:pStyle w:val="22"/>
              <w:widowControl/>
              <w:autoSpaceDE w:val="0"/>
              <w:spacing w:before="100" w:beforeAutospacing="1"/>
              <w:jc w:val="left"/>
              <w:rPr>
                <w:rFonts w:cs="Times New Roman"/>
                <w:color w:val="000000"/>
                <w:sz w:val="20"/>
                <w:szCs w:val="20"/>
              </w:rPr>
            </w:pPr>
            <w:r>
              <w:rPr>
                <w:rFonts w:cs="Times New Roman"/>
                <w:color w:val="000000"/>
                <w:sz w:val="20"/>
                <w:szCs w:val="20"/>
              </w:rPr>
              <w:t>-0.4911087**</w:t>
            </w:r>
          </w:p>
        </w:tc>
      </w:tr>
      <w:tr w14:paraId="21A898F0">
        <w:tc>
          <w:tcPr>
            <w:tcW w:w="850" w:type="pct"/>
            <w:tcBorders>
              <w:top w:val="nil"/>
              <w:left w:val="nil"/>
              <w:bottom w:val="nil"/>
              <w:right w:val="nil"/>
            </w:tcBorders>
          </w:tcPr>
          <w:p w14:paraId="38271EBD">
            <w:pPr>
              <w:pStyle w:val="22"/>
              <w:widowControl/>
              <w:autoSpaceDE w:val="0"/>
              <w:spacing w:before="100" w:beforeAutospacing="1"/>
              <w:jc w:val="left"/>
              <w:rPr>
                <w:rFonts w:cs="Times New Roman"/>
                <w:color w:val="000000"/>
                <w:sz w:val="20"/>
                <w:szCs w:val="20"/>
              </w:rPr>
            </w:pPr>
          </w:p>
        </w:tc>
        <w:tc>
          <w:tcPr>
            <w:tcW w:w="730" w:type="pct"/>
            <w:tcBorders>
              <w:top w:val="nil"/>
              <w:left w:val="nil"/>
              <w:bottom w:val="nil"/>
              <w:right w:val="nil"/>
            </w:tcBorders>
          </w:tcPr>
          <w:p w14:paraId="4FD303BD">
            <w:pPr>
              <w:pStyle w:val="22"/>
              <w:widowControl/>
              <w:autoSpaceDE w:val="0"/>
              <w:spacing w:before="100" w:beforeAutospacing="1"/>
              <w:jc w:val="left"/>
              <w:rPr>
                <w:rFonts w:cs="Times New Roman"/>
                <w:color w:val="000000"/>
                <w:sz w:val="20"/>
                <w:szCs w:val="20"/>
              </w:rPr>
            </w:pPr>
            <w:r>
              <w:rPr>
                <w:rFonts w:cs="Times New Roman"/>
                <w:color w:val="000000"/>
                <w:sz w:val="20"/>
                <w:szCs w:val="20"/>
              </w:rPr>
              <w:t>(0.0714353)</w:t>
            </w:r>
          </w:p>
        </w:tc>
        <w:tc>
          <w:tcPr>
            <w:tcW w:w="824" w:type="pct"/>
            <w:tcBorders>
              <w:top w:val="nil"/>
              <w:left w:val="nil"/>
              <w:bottom w:val="nil"/>
              <w:right w:val="nil"/>
            </w:tcBorders>
          </w:tcPr>
          <w:p w14:paraId="6D4343A6">
            <w:pPr>
              <w:pStyle w:val="22"/>
              <w:widowControl/>
              <w:autoSpaceDE w:val="0"/>
              <w:spacing w:before="100" w:beforeAutospacing="1"/>
              <w:jc w:val="left"/>
              <w:rPr>
                <w:rFonts w:cs="Times New Roman"/>
                <w:color w:val="000000"/>
                <w:sz w:val="20"/>
                <w:szCs w:val="20"/>
              </w:rPr>
            </w:pPr>
            <w:r>
              <w:rPr>
                <w:rFonts w:cs="Times New Roman"/>
                <w:color w:val="000000"/>
                <w:sz w:val="20"/>
                <w:szCs w:val="20"/>
              </w:rPr>
              <w:t>(0.0299678)</w:t>
            </w:r>
          </w:p>
        </w:tc>
        <w:tc>
          <w:tcPr>
            <w:tcW w:w="844" w:type="pct"/>
            <w:tcBorders>
              <w:top w:val="nil"/>
              <w:left w:val="nil"/>
              <w:bottom w:val="nil"/>
              <w:right w:val="nil"/>
            </w:tcBorders>
          </w:tcPr>
          <w:p w14:paraId="488716EA">
            <w:pPr>
              <w:pStyle w:val="22"/>
              <w:widowControl/>
              <w:autoSpaceDE w:val="0"/>
              <w:spacing w:before="100" w:beforeAutospacing="1"/>
              <w:rPr>
                <w:rFonts w:cs="Times New Roman"/>
                <w:color w:val="000000"/>
                <w:sz w:val="20"/>
                <w:szCs w:val="20"/>
              </w:rPr>
            </w:pPr>
            <w:r>
              <w:rPr>
                <w:rFonts w:cs="Times New Roman"/>
                <w:color w:val="000000"/>
                <w:sz w:val="20"/>
                <w:szCs w:val="20"/>
              </w:rPr>
              <w:t>(0.1284678)</w:t>
            </w:r>
          </w:p>
        </w:tc>
        <w:tc>
          <w:tcPr>
            <w:tcW w:w="843" w:type="pct"/>
            <w:gridSpan w:val="2"/>
            <w:tcBorders>
              <w:top w:val="nil"/>
              <w:left w:val="nil"/>
              <w:bottom w:val="nil"/>
              <w:right w:val="nil"/>
            </w:tcBorders>
          </w:tcPr>
          <w:p w14:paraId="0186E029">
            <w:pPr>
              <w:pStyle w:val="22"/>
              <w:widowControl/>
              <w:autoSpaceDE w:val="0"/>
              <w:spacing w:before="100" w:beforeAutospacing="1"/>
              <w:jc w:val="left"/>
              <w:rPr>
                <w:rFonts w:cs="Times New Roman"/>
                <w:color w:val="000000"/>
                <w:sz w:val="20"/>
                <w:szCs w:val="20"/>
              </w:rPr>
            </w:pPr>
            <w:r>
              <w:rPr>
                <w:rFonts w:cs="Times New Roman"/>
                <w:color w:val="000000"/>
                <w:sz w:val="20"/>
                <w:szCs w:val="20"/>
              </w:rPr>
              <w:t>(0.0253496)</w:t>
            </w:r>
          </w:p>
        </w:tc>
        <w:tc>
          <w:tcPr>
            <w:tcW w:w="909" w:type="pct"/>
            <w:tcBorders>
              <w:top w:val="nil"/>
              <w:left w:val="nil"/>
              <w:bottom w:val="nil"/>
              <w:right w:val="nil"/>
            </w:tcBorders>
          </w:tcPr>
          <w:p w14:paraId="2E522D82">
            <w:pPr>
              <w:pStyle w:val="22"/>
              <w:widowControl/>
              <w:autoSpaceDE w:val="0"/>
              <w:spacing w:before="100" w:beforeAutospacing="1"/>
              <w:jc w:val="left"/>
              <w:rPr>
                <w:rFonts w:cs="Times New Roman"/>
                <w:color w:val="000000"/>
                <w:sz w:val="20"/>
                <w:szCs w:val="20"/>
              </w:rPr>
            </w:pPr>
            <w:r>
              <w:rPr>
                <w:rFonts w:cs="Times New Roman"/>
                <w:color w:val="000000"/>
                <w:sz w:val="20"/>
                <w:szCs w:val="20"/>
              </w:rPr>
              <w:t>(0.1677673)</w:t>
            </w:r>
          </w:p>
        </w:tc>
      </w:tr>
      <w:tr w14:paraId="0CFADAF5">
        <w:tc>
          <w:tcPr>
            <w:tcW w:w="850" w:type="pct"/>
            <w:tcBorders>
              <w:top w:val="nil"/>
              <w:left w:val="nil"/>
              <w:bottom w:val="nil"/>
              <w:right w:val="nil"/>
            </w:tcBorders>
          </w:tcPr>
          <w:p w14:paraId="5C0003D1">
            <w:pPr>
              <w:pStyle w:val="22"/>
              <w:widowControl/>
              <w:autoSpaceDE w:val="0"/>
              <w:spacing w:before="100" w:beforeAutospacing="1"/>
              <w:jc w:val="left"/>
              <w:rPr>
                <w:rFonts w:cs="Times New Roman"/>
                <w:color w:val="000000"/>
                <w:sz w:val="20"/>
                <w:szCs w:val="20"/>
              </w:rPr>
            </w:pPr>
            <w:r>
              <w:rPr>
                <w:rFonts w:cs="Times New Roman"/>
                <w:color w:val="000000"/>
                <w:sz w:val="20"/>
                <w:szCs w:val="20"/>
              </w:rPr>
              <w:t>TRADE</w:t>
            </w:r>
          </w:p>
        </w:tc>
        <w:tc>
          <w:tcPr>
            <w:tcW w:w="730" w:type="pct"/>
            <w:tcBorders>
              <w:top w:val="nil"/>
              <w:left w:val="nil"/>
              <w:bottom w:val="nil"/>
              <w:right w:val="nil"/>
            </w:tcBorders>
          </w:tcPr>
          <w:p w14:paraId="079F5C35">
            <w:pPr>
              <w:pStyle w:val="22"/>
              <w:widowControl/>
              <w:autoSpaceDE w:val="0"/>
              <w:spacing w:before="100" w:beforeAutospacing="1"/>
              <w:jc w:val="left"/>
              <w:rPr>
                <w:rFonts w:cs="Times New Roman"/>
                <w:color w:val="000000"/>
                <w:sz w:val="20"/>
                <w:szCs w:val="20"/>
              </w:rPr>
            </w:pPr>
            <w:r>
              <w:rPr>
                <w:rFonts w:cs="Times New Roman"/>
                <w:color w:val="000000"/>
                <w:sz w:val="20"/>
                <w:szCs w:val="20"/>
              </w:rPr>
              <w:t>-0.0268259</w:t>
            </w:r>
          </w:p>
        </w:tc>
        <w:tc>
          <w:tcPr>
            <w:tcW w:w="824" w:type="pct"/>
            <w:tcBorders>
              <w:top w:val="nil"/>
              <w:left w:val="nil"/>
              <w:bottom w:val="nil"/>
              <w:right w:val="nil"/>
            </w:tcBorders>
          </w:tcPr>
          <w:p w14:paraId="07A10F03">
            <w:pPr>
              <w:pStyle w:val="22"/>
              <w:widowControl/>
              <w:autoSpaceDE w:val="0"/>
              <w:spacing w:before="100" w:beforeAutospacing="1"/>
              <w:jc w:val="left"/>
              <w:rPr>
                <w:rFonts w:cs="Times New Roman"/>
                <w:color w:val="000000"/>
                <w:sz w:val="20"/>
                <w:szCs w:val="20"/>
              </w:rPr>
            </w:pPr>
            <w:r>
              <w:rPr>
                <w:rFonts w:cs="Times New Roman"/>
                <w:color w:val="000000"/>
                <w:sz w:val="20"/>
                <w:szCs w:val="20"/>
              </w:rPr>
              <w:t>0.018874*</w:t>
            </w:r>
          </w:p>
        </w:tc>
        <w:tc>
          <w:tcPr>
            <w:tcW w:w="844" w:type="pct"/>
            <w:tcBorders>
              <w:top w:val="nil"/>
              <w:left w:val="nil"/>
              <w:bottom w:val="nil"/>
              <w:right w:val="nil"/>
            </w:tcBorders>
          </w:tcPr>
          <w:p w14:paraId="48C98A94">
            <w:pPr>
              <w:pStyle w:val="22"/>
              <w:widowControl/>
              <w:autoSpaceDE w:val="0"/>
              <w:spacing w:before="100" w:beforeAutospacing="1"/>
              <w:rPr>
                <w:rFonts w:cs="Times New Roman"/>
                <w:color w:val="000000"/>
                <w:sz w:val="20"/>
                <w:szCs w:val="20"/>
              </w:rPr>
            </w:pPr>
            <w:r>
              <w:rPr>
                <w:rFonts w:cs="Times New Roman"/>
                <w:color w:val="000000"/>
                <w:sz w:val="20"/>
                <w:szCs w:val="20"/>
              </w:rPr>
              <w:t>-0.1062689**</w:t>
            </w:r>
          </w:p>
        </w:tc>
        <w:tc>
          <w:tcPr>
            <w:tcW w:w="843" w:type="pct"/>
            <w:gridSpan w:val="2"/>
            <w:tcBorders>
              <w:top w:val="nil"/>
              <w:left w:val="nil"/>
              <w:bottom w:val="nil"/>
              <w:right w:val="nil"/>
            </w:tcBorders>
          </w:tcPr>
          <w:p w14:paraId="76D63B36">
            <w:pPr>
              <w:pStyle w:val="22"/>
              <w:widowControl/>
              <w:autoSpaceDE w:val="0"/>
              <w:spacing w:before="100" w:beforeAutospacing="1"/>
              <w:jc w:val="left"/>
              <w:rPr>
                <w:rFonts w:cs="Times New Roman"/>
                <w:color w:val="000000"/>
                <w:sz w:val="20"/>
                <w:szCs w:val="20"/>
              </w:rPr>
            </w:pPr>
            <w:r>
              <w:rPr>
                <w:rFonts w:cs="Times New Roman"/>
                <w:color w:val="000000"/>
                <w:sz w:val="20"/>
                <w:szCs w:val="20"/>
              </w:rPr>
              <w:t>0.0177418*</w:t>
            </w:r>
          </w:p>
        </w:tc>
        <w:tc>
          <w:tcPr>
            <w:tcW w:w="909" w:type="pct"/>
            <w:tcBorders>
              <w:top w:val="nil"/>
              <w:left w:val="nil"/>
              <w:bottom w:val="nil"/>
              <w:right w:val="nil"/>
            </w:tcBorders>
          </w:tcPr>
          <w:p w14:paraId="13AA7298">
            <w:pPr>
              <w:pStyle w:val="22"/>
              <w:widowControl/>
              <w:autoSpaceDE w:val="0"/>
              <w:spacing w:before="100" w:beforeAutospacing="1"/>
              <w:jc w:val="left"/>
              <w:rPr>
                <w:rFonts w:cs="Times New Roman"/>
                <w:color w:val="000000"/>
                <w:sz w:val="20"/>
                <w:szCs w:val="20"/>
              </w:rPr>
            </w:pPr>
            <w:r>
              <w:rPr>
                <w:rFonts w:cs="Times New Roman"/>
                <w:color w:val="000000"/>
                <w:sz w:val="20"/>
                <w:szCs w:val="20"/>
              </w:rPr>
              <w:t>-0.059343*</w:t>
            </w:r>
          </w:p>
        </w:tc>
      </w:tr>
      <w:tr w14:paraId="14220E02">
        <w:tc>
          <w:tcPr>
            <w:tcW w:w="850" w:type="pct"/>
            <w:tcBorders>
              <w:top w:val="nil"/>
              <w:left w:val="nil"/>
              <w:bottom w:val="nil"/>
              <w:right w:val="nil"/>
            </w:tcBorders>
          </w:tcPr>
          <w:p w14:paraId="0EAEA327">
            <w:pPr>
              <w:pStyle w:val="22"/>
              <w:widowControl/>
              <w:autoSpaceDE w:val="0"/>
              <w:spacing w:before="100" w:beforeAutospacing="1"/>
              <w:jc w:val="left"/>
              <w:rPr>
                <w:rFonts w:cs="Times New Roman"/>
                <w:color w:val="000000"/>
                <w:sz w:val="20"/>
                <w:szCs w:val="20"/>
              </w:rPr>
            </w:pPr>
          </w:p>
        </w:tc>
        <w:tc>
          <w:tcPr>
            <w:tcW w:w="730" w:type="pct"/>
            <w:tcBorders>
              <w:top w:val="nil"/>
              <w:left w:val="nil"/>
              <w:bottom w:val="nil"/>
              <w:right w:val="nil"/>
            </w:tcBorders>
          </w:tcPr>
          <w:p w14:paraId="5CB5C0D8">
            <w:pPr>
              <w:pStyle w:val="22"/>
              <w:widowControl/>
              <w:autoSpaceDE w:val="0"/>
              <w:spacing w:before="100" w:beforeAutospacing="1"/>
              <w:jc w:val="left"/>
              <w:rPr>
                <w:rFonts w:cs="Times New Roman"/>
                <w:color w:val="000000"/>
                <w:sz w:val="20"/>
                <w:szCs w:val="20"/>
              </w:rPr>
            </w:pPr>
            <w:r>
              <w:rPr>
                <w:rFonts w:cs="Times New Roman"/>
                <w:color w:val="000000"/>
                <w:sz w:val="20"/>
                <w:szCs w:val="20"/>
              </w:rPr>
              <w:t>(0.0311633)</w:t>
            </w:r>
          </w:p>
        </w:tc>
        <w:tc>
          <w:tcPr>
            <w:tcW w:w="824" w:type="pct"/>
            <w:tcBorders>
              <w:top w:val="nil"/>
              <w:left w:val="nil"/>
              <w:bottom w:val="nil"/>
              <w:right w:val="nil"/>
            </w:tcBorders>
          </w:tcPr>
          <w:p w14:paraId="43B408B8">
            <w:pPr>
              <w:pStyle w:val="22"/>
              <w:widowControl/>
              <w:autoSpaceDE w:val="0"/>
              <w:spacing w:before="100" w:beforeAutospacing="1"/>
              <w:jc w:val="left"/>
              <w:rPr>
                <w:rFonts w:cs="Times New Roman"/>
                <w:color w:val="000000"/>
                <w:sz w:val="20"/>
                <w:szCs w:val="20"/>
              </w:rPr>
            </w:pPr>
            <w:r>
              <w:rPr>
                <w:rFonts w:cs="Times New Roman"/>
                <w:color w:val="000000"/>
                <w:sz w:val="20"/>
                <w:szCs w:val="20"/>
              </w:rPr>
              <w:t>(</w:t>
            </w:r>
            <w:r>
              <w:rPr>
                <w:rFonts w:hint="eastAsia" w:cs="Times New Roman"/>
                <w:color w:val="000000"/>
                <w:sz w:val="20"/>
                <w:szCs w:val="20"/>
              </w:rPr>
              <w:t>0</w:t>
            </w:r>
            <w:r>
              <w:rPr>
                <w:rFonts w:cs="Times New Roman"/>
                <w:color w:val="000000"/>
                <w:sz w:val="20"/>
                <w:szCs w:val="20"/>
              </w:rPr>
              <w:t>.0103837)</w:t>
            </w:r>
          </w:p>
        </w:tc>
        <w:tc>
          <w:tcPr>
            <w:tcW w:w="844" w:type="pct"/>
            <w:tcBorders>
              <w:top w:val="nil"/>
              <w:left w:val="nil"/>
              <w:bottom w:val="nil"/>
              <w:right w:val="nil"/>
            </w:tcBorders>
          </w:tcPr>
          <w:p w14:paraId="6CBF440C">
            <w:pPr>
              <w:pStyle w:val="22"/>
              <w:widowControl/>
              <w:autoSpaceDE w:val="0"/>
              <w:spacing w:before="100" w:beforeAutospacing="1"/>
              <w:rPr>
                <w:rFonts w:cs="Times New Roman"/>
                <w:color w:val="000000"/>
                <w:sz w:val="20"/>
                <w:szCs w:val="20"/>
              </w:rPr>
            </w:pPr>
            <w:r>
              <w:rPr>
                <w:rFonts w:cs="Times New Roman"/>
                <w:color w:val="000000"/>
                <w:sz w:val="20"/>
                <w:szCs w:val="20"/>
              </w:rPr>
              <w:t>(</w:t>
            </w:r>
            <w:r>
              <w:rPr>
                <w:rFonts w:hint="eastAsia" w:cs="Times New Roman"/>
                <w:color w:val="000000"/>
                <w:sz w:val="20"/>
                <w:szCs w:val="20"/>
              </w:rPr>
              <w:t>0</w:t>
            </w:r>
            <w:r>
              <w:rPr>
                <w:rFonts w:cs="Times New Roman"/>
                <w:color w:val="000000"/>
                <w:sz w:val="20"/>
                <w:szCs w:val="20"/>
              </w:rPr>
              <w:t>.0446852)</w:t>
            </w:r>
          </w:p>
        </w:tc>
        <w:tc>
          <w:tcPr>
            <w:tcW w:w="843" w:type="pct"/>
            <w:gridSpan w:val="2"/>
            <w:tcBorders>
              <w:top w:val="nil"/>
              <w:left w:val="nil"/>
              <w:bottom w:val="nil"/>
              <w:right w:val="nil"/>
            </w:tcBorders>
          </w:tcPr>
          <w:p w14:paraId="00A26BF6">
            <w:pPr>
              <w:pStyle w:val="22"/>
              <w:widowControl/>
              <w:autoSpaceDE w:val="0"/>
              <w:spacing w:before="100" w:beforeAutospacing="1"/>
              <w:jc w:val="left"/>
              <w:rPr>
                <w:rFonts w:cs="Times New Roman"/>
                <w:color w:val="000000"/>
                <w:sz w:val="20"/>
                <w:szCs w:val="20"/>
              </w:rPr>
            </w:pPr>
            <w:r>
              <w:rPr>
                <w:rFonts w:cs="Times New Roman"/>
                <w:color w:val="000000"/>
                <w:sz w:val="20"/>
                <w:szCs w:val="20"/>
              </w:rPr>
              <w:t>(0.0086376)</w:t>
            </w:r>
          </w:p>
        </w:tc>
        <w:tc>
          <w:tcPr>
            <w:tcW w:w="909" w:type="pct"/>
            <w:tcBorders>
              <w:top w:val="nil"/>
              <w:left w:val="nil"/>
              <w:bottom w:val="nil"/>
              <w:right w:val="nil"/>
            </w:tcBorders>
          </w:tcPr>
          <w:p w14:paraId="7214698C">
            <w:pPr>
              <w:pStyle w:val="22"/>
              <w:widowControl/>
              <w:autoSpaceDE w:val="0"/>
              <w:spacing w:before="100" w:beforeAutospacing="1"/>
              <w:jc w:val="left"/>
              <w:rPr>
                <w:rFonts w:cs="Times New Roman"/>
                <w:color w:val="000000"/>
                <w:sz w:val="20"/>
                <w:szCs w:val="20"/>
              </w:rPr>
            </w:pPr>
            <w:r>
              <w:rPr>
                <w:rFonts w:cs="Times New Roman"/>
                <w:color w:val="000000"/>
                <w:sz w:val="20"/>
                <w:szCs w:val="20"/>
              </w:rPr>
              <w:t>(0.031325)</w:t>
            </w:r>
          </w:p>
        </w:tc>
      </w:tr>
      <w:tr w14:paraId="015B8C0A">
        <w:trPr>
          <w:trHeight w:val="90" w:hRule="atLeast"/>
        </w:trPr>
        <w:tc>
          <w:tcPr>
            <w:tcW w:w="850" w:type="pct"/>
            <w:tcBorders>
              <w:top w:val="nil"/>
              <w:left w:val="nil"/>
              <w:bottom w:val="nil"/>
              <w:right w:val="nil"/>
            </w:tcBorders>
          </w:tcPr>
          <w:p w14:paraId="79802230">
            <w:pPr>
              <w:pStyle w:val="22"/>
              <w:widowControl/>
              <w:autoSpaceDE w:val="0"/>
              <w:spacing w:before="100" w:beforeAutospacing="1"/>
              <w:jc w:val="left"/>
              <w:rPr>
                <w:rFonts w:cs="Times New Roman"/>
                <w:color w:val="000000"/>
                <w:sz w:val="20"/>
                <w:szCs w:val="20"/>
              </w:rPr>
            </w:pPr>
            <w:r>
              <w:rPr>
                <w:rFonts w:cs="Times New Roman"/>
                <w:color w:val="000000"/>
                <w:sz w:val="20"/>
                <w:szCs w:val="20"/>
              </w:rPr>
              <w:t>POP</w:t>
            </w:r>
          </w:p>
        </w:tc>
        <w:tc>
          <w:tcPr>
            <w:tcW w:w="730" w:type="pct"/>
            <w:tcBorders>
              <w:top w:val="nil"/>
              <w:left w:val="nil"/>
              <w:bottom w:val="nil"/>
              <w:right w:val="nil"/>
            </w:tcBorders>
          </w:tcPr>
          <w:p w14:paraId="43AC85DF">
            <w:pPr>
              <w:pStyle w:val="22"/>
              <w:widowControl/>
              <w:autoSpaceDE w:val="0"/>
              <w:spacing w:before="100" w:beforeAutospacing="1"/>
              <w:jc w:val="left"/>
              <w:rPr>
                <w:rFonts w:cs="Times New Roman"/>
                <w:color w:val="000000"/>
                <w:sz w:val="20"/>
                <w:szCs w:val="20"/>
              </w:rPr>
            </w:pPr>
            <w:r>
              <w:rPr>
                <w:rFonts w:cs="Times New Roman"/>
                <w:color w:val="000000"/>
                <w:sz w:val="20"/>
                <w:szCs w:val="20"/>
              </w:rPr>
              <w:t>-0.9284934</w:t>
            </w:r>
          </w:p>
        </w:tc>
        <w:tc>
          <w:tcPr>
            <w:tcW w:w="824" w:type="pct"/>
            <w:tcBorders>
              <w:top w:val="nil"/>
              <w:left w:val="nil"/>
              <w:bottom w:val="nil"/>
              <w:right w:val="nil"/>
            </w:tcBorders>
          </w:tcPr>
          <w:p w14:paraId="4C988E35">
            <w:pPr>
              <w:pStyle w:val="22"/>
              <w:widowControl/>
              <w:autoSpaceDE w:val="0"/>
              <w:spacing w:before="100" w:beforeAutospacing="1"/>
              <w:jc w:val="left"/>
              <w:rPr>
                <w:rFonts w:cs="Times New Roman"/>
                <w:color w:val="000000"/>
                <w:sz w:val="20"/>
                <w:szCs w:val="20"/>
              </w:rPr>
            </w:pPr>
            <w:r>
              <w:rPr>
                <w:rFonts w:cs="Times New Roman"/>
                <w:color w:val="000000"/>
                <w:sz w:val="20"/>
                <w:szCs w:val="20"/>
              </w:rPr>
              <w:t>0.2530379</w:t>
            </w:r>
          </w:p>
        </w:tc>
        <w:tc>
          <w:tcPr>
            <w:tcW w:w="844" w:type="pct"/>
            <w:tcBorders>
              <w:top w:val="nil"/>
              <w:left w:val="nil"/>
              <w:bottom w:val="nil"/>
              <w:right w:val="nil"/>
            </w:tcBorders>
          </w:tcPr>
          <w:p w14:paraId="13946B10">
            <w:pPr>
              <w:pStyle w:val="22"/>
              <w:widowControl/>
              <w:autoSpaceDE w:val="0"/>
              <w:spacing w:before="100" w:beforeAutospacing="1"/>
              <w:rPr>
                <w:rFonts w:cs="Times New Roman"/>
                <w:color w:val="000000"/>
                <w:sz w:val="20"/>
                <w:szCs w:val="20"/>
              </w:rPr>
            </w:pPr>
            <w:r>
              <w:rPr>
                <w:rFonts w:cs="Times New Roman"/>
                <w:color w:val="000000"/>
                <w:sz w:val="20"/>
                <w:szCs w:val="20"/>
              </w:rPr>
              <w:t>0.1535693</w:t>
            </w:r>
          </w:p>
        </w:tc>
        <w:tc>
          <w:tcPr>
            <w:tcW w:w="843" w:type="pct"/>
            <w:gridSpan w:val="2"/>
            <w:tcBorders>
              <w:top w:val="nil"/>
              <w:left w:val="nil"/>
              <w:bottom w:val="nil"/>
              <w:right w:val="nil"/>
            </w:tcBorders>
          </w:tcPr>
          <w:p w14:paraId="3FDBF631">
            <w:pPr>
              <w:pStyle w:val="22"/>
              <w:widowControl/>
              <w:autoSpaceDE w:val="0"/>
              <w:spacing w:before="100" w:beforeAutospacing="1"/>
              <w:jc w:val="left"/>
              <w:rPr>
                <w:rFonts w:cs="Times New Roman"/>
                <w:color w:val="000000"/>
                <w:sz w:val="20"/>
                <w:szCs w:val="20"/>
              </w:rPr>
            </w:pPr>
            <w:r>
              <w:rPr>
                <w:rFonts w:cs="Times New Roman"/>
                <w:color w:val="000000"/>
                <w:sz w:val="20"/>
                <w:szCs w:val="20"/>
              </w:rPr>
              <w:t>0.2448573</w:t>
            </w:r>
          </w:p>
        </w:tc>
        <w:tc>
          <w:tcPr>
            <w:tcW w:w="909" w:type="pct"/>
            <w:tcBorders>
              <w:top w:val="nil"/>
              <w:left w:val="nil"/>
              <w:bottom w:val="nil"/>
              <w:right w:val="nil"/>
            </w:tcBorders>
          </w:tcPr>
          <w:p w14:paraId="7480842C">
            <w:pPr>
              <w:pStyle w:val="22"/>
              <w:widowControl/>
              <w:autoSpaceDE w:val="0"/>
              <w:spacing w:before="100" w:beforeAutospacing="1"/>
              <w:jc w:val="left"/>
              <w:rPr>
                <w:rFonts w:cs="Times New Roman"/>
                <w:color w:val="000000"/>
                <w:sz w:val="20"/>
                <w:szCs w:val="20"/>
              </w:rPr>
            </w:pPr>
            <w:r>
              <w:rPr>
                <w:rFonts w:cs="Times New Roman"/>
                <w:color w:val="000000"/>
                <w:sz w:val="20"/>
                <w:szCs w:val="20"/>
              </w:rPr>
              <w:t>2.217459</w:t>
            </w:r>
          </w:p>
        </w:tc>
      </w:tr>
      <w:tr w14:paraId="5D1C06D4">
        <w:tc>
          <w:tcPr>
            <w:tcW w:w="850" w:type="pct"/>
            <w:tcBorders>
              <w:top w:val="nil"/>
              <w:left w:val="nil"/>
              <w:bottom w:val="nil"/>
              <w:right w:val="nil"/>
            </w:tcBorders>
          </w:tcPr>
          <w:p w14:paraId="30181F72">
            <w:pPr>
              <w:pStyle w:val="22"/>
              <w:widowControl/>
              <w:autoSpaceDE w:val="0"/>
              <w:spacing w:before="100" w:beforeAutospacing="1"/>
              <w:jc w:val="left"/>
              <w:rPr>
                <w:rFonts w:cs="Times New Roman"/>
                <w:color w:val="000000"/>
                <w:sz w:val="20"/>
                <w:szCs w:val="20"/>
              </w:rPr>
            </w:pPr>
          </w:p>
        </w:tc>
        <w:tc>
          <w:tcPr>
            <w:tcW w:w="730" w:type="pct"/>
            <w:tcBorders>
              <w:top w:val="nil"/>
              <w:left w:val="nil"/>
              <w:bottom w:val="nil"/>
              <w:right w:val="nil"/>
            </w:tcBorders>
          </w:tcPr>
          <w:p w14:paraId="287B1AA7">
            <w:pPr>
              <w:pStyle w:val="22"/>
              <w:widowControl/>
              <w:autoSpaceDE w:val="0"/>
              <w:spacing w:before="100" w:beforeAutospacing="1"/>
              <w:jc w:val="left"/>
              <w:rPr>
                <w:rFonts w:cs="Times New Roman"/>
                <w:color w:val="000000"/>
                <w:sz w:val="20"/>
                <w:szCs w:val="20"/>
              </w:rPr>
            </w:pPr>
            <w:r>
              <w:rPr>
                <w:rFonts w:cs="Times New Roman"/>
                <w:color w:val="000000"/>
                <w:sz w:val="20"/>
                <w:szCs w:val="20"/>
              </w:rPr>
              <w:t>(0.8212101)</w:t>
            </w:r>
          </w:p>
        </w:tc>
        <w:tc>
          <w:tcPr>
            <w:tcW w:w="824" w:type="pct"/>
            <w:tcBorders>
              <w:top w:val="nil"/>
              <w:left w:val="nil"/>
              <w:bottom w:val="nil"/>
              <w:right w:val="nil"/>
            </w:tcBorders>
          </w:tcPr>
          <w:p w14:paraId="15BA4D87">
            <w:pPr>
              <w:pStyle w:val="22"/>
              <w:widowControl/>
              <w:autoSpaceDE w:val="0"/>
              <w:spacing w:before="100" w:beforeAutospacing="1"/>
              <w:jc w:val="left"/>
              <w:rPr>
                <w:rFonts w:cs="Times New Roman"/>
                <w:color w:val="000000"/>
                <w:sz w:val="20"/>
                <w:szCs w:val="20"/>
              </w:rPr>
            </w:pPr>
            <w:r>
              <w:rPr>
                <w:rFonts w:cs="Times New Roman"/>
                <w:color w:val="000000"/>
                <w:sz w:val="20"/>
                <w:szCs w:val="20"/>
              </w:rPr>
              <w:t>(0.2272662)</w:t>
            </w:r>
          </w:p>
        </w:tc>
        <w:tc>
          <w:tcPr>
            <w:tcW w:w="844" w:type="pct"/>
            <w:tcBorders>
              <w:top w:val="nil"/>
              <w:left w:val="nil"/>
              <w:bottom w:val="nil"/>
              <w:right w:val="nil"/>
            </w:tcBorders>
          </w:tcPr>
          <w:p w14:paraId="273CEF80">
            <w:pPr>
              <w:pStyle w:val="22"/>
              <w:widowControl/>
              <w:autoSpaceDE w:val="0"/>
              <w:spacing w:before="100" w:beforeAutospacing="1"/>
              <w:rPr>
                <w:rFonts w:cs="Times New Roman"/>
                <w:color w:val="000000"/>
                <w:sz w:val="20"/>
                <w:szCs w:val="20"/>
              </w:rPr>
            </w:pPr>
            <w:r>
              <w:rPr>
                <w:rFonts w:cs="Times New Roman"/>
                <w:color w:val="000000"/>
                <w:sz w:val="20"/>
                <w:szCs w:val="20"/>
              </w:rPr>
              <w:t>(0.9458651)</w:t>
            </w:r>
          </w:p>
        </w:tc>
        <w:tc>
          <w:tcPr>
            <w:tcW w:w="843" w:type="pct"/>
            <w:gridSpan w:val="2"/>
            <w:tcBorders>
              <w:top w:val="nil"/>
              <w:left w:val="nil"/>
              <w:bottom w:val="nil"/>
              <w:right w:val="nil"/>
            </w:tcBorders>
          </w:tcPr>
          <w:p w14:paraId="67BCCD37">
            <w:pPr>
              <w:pStyle w:val="22"/>
              <w:widowControl/>
              <w:autoSpaceDE w:val="0"/>
              <w:spacing w:before="100" w:beforeAutospacing="1"/>
              <w:jc w:val="left"/>
              <w:rPr>
                <w:rFonts w:cs="Times New Roman"/>
                <w:color w:val="000000"/>
                <w:sz w:val="20"/>
                <w:szCs w:val="20"/>
              </w:rPr>
            </w:pPr>
            <w:r>
              <w:rPr>
                <w:rFonts w:cs="Times New Roman"/>
                <w:color w:val="000000"/>
                <w:sz w:val="20"/>
                <w:szCs w:val="20"/>
              </w:rPr>
              <w:t>(0.4648902)</w:t>
            </w:r>
          </w:p>
        </w:tc>
        <w:tc>
          <w:tcPr>
            <w:tcW w:w="909" w:type="pct"/>
            <w:tcBorders>
              <w:top w:val="nil"/>
              <w:left w:val="nil"/>
              <w:bottom w:val="nil"/>
              <w:right w:val="nil"/>
            </w:tcBorders>
          </w:tcPr>
          <w:p w14:paraId="511992A8">
            <w:pPr>
              <w:pStyle w:val="22"/>
              <w:widowControl/>
              <w:autoSpaceDE w:val="0"/>
              <w:spacing w:before="100" w:beforeAutospacing="1"/>
              <w:jc w:val="left"/>
              <w:rPr>
                <w:rFonts w:cs="Times New Roman"/>
                <w:color w:val="000000"/>
                <w:sz w:val="20"/>
                <w:szCs w:val="20"/>
              </w:rPr>
            </w:pPr>
            <w:r>
              <w:rPr>
                <w:rFonts w:cs="Times New Roman"/>
                <w:color w:val="000000"/>
                <w:sz w:val="20"/>
                <w:szCs w:val="20"/>
              </w:rPr>
              <w:t>(1.283448)</w:t>
            </w:r>
          </w:p>
        </w:tc>
      </w:tr>
      <w:tr w14:paraId="02BDDD02">
        <w:tc>
          <w:tcPr>
            <w:tcW w:w="850" w:type="pct"/>
            <w:tcBorders>
              <w:top w:val="nil"/>
              <w:left w:val="nil"/>
              <w:bottom w:val="nil"/>
              <w:right w:val="nil"/>
            </w:tcBorders>
          </w:tcPr>
          <w:p w14:paraId="173EDE04">
            <w:pPr>
              <w:pStyle w:val="22"/>
              <w:widowControl/>
              <w:autoSpaceDE w:val="0"/>
              <w:spacing w:before="100" w:beforeAutospacing="1"/>
              <w:jc w:val="left"/>
              <w:rPr>
                <w:rFonts w:cs="Times New Roman"/>
                <w:color w:val="000000"/>
                <w:sz w:val="20"/>
                <w:szCs w:val="20"/>
              </w:rPr>
            </w:pPr>
            <w:r>
              <w:rPr>
                <w:rFonts w:cs="Times New Roman"/>
                <w:color w:val="000000"/>
                <w:sz w:val="20"/>
                <w:szCs w:val="20"/>
              </w:rPr>
              <w:t>UP</w:t>
            </w:r>
          </w:p>
        </w:tc>
        <w:tc>
          <w:tcPr>
            <w:tcW w:w="730" w:type="pct"/>
            <w:tcBorders>
              <w:top w:val="nil"/>
              <w:left w:val="nil"/>
              <w:bottom w:val="nil"/>
              <w:right w:val="nil"/>
            </w:tcBorders>
          </w:tcPr>
          <w:p w14:paraId="61D8019D">
            <w:pPr>
              <w:pStyle w:val="22"/>
              <w:widowControl/>
              <w:autoSpaceDE w:val="0"/>
              <w:spacing w:before="100" w:beforeAutospacing="1"/>
              <w:jc w:val="left"/>
              <w:rPr>
                <w:rFonts w:cs="Times New Roman"/>
                <w:color w:val="000000"/>
                <w:sz w:val="20"/>
                <w:szCs w:val="20"/>
              </w:rPr>
            </w:pPr>
            <w:r>
              <w:rPr>
                <w:rFonts w:cs="Times New Roman"/>
                <w:color w:val="000000"/>
                <w:sz w:val="20"/>
                <w:szCs w:val="20"/>
              </w:rPr>
              <w:t>2.829163</w:t>
            </w:r>
          </w:p>
        </w:tc>
        <w:tc>
          <w:tcPr>
            <w:tcW w:w="824" w:type="pct"/>
            <w:tcBorders>
              <w:top w:val="nil"/>
              <w:left w:val="nil"/>
              <w:bottom w:val="nil"/>
              <w:right w:val="nil"/>
            </w:tcBorders>
          </w:tcPr>
          <w:p w14:paraId="36C2CCC9">
            <w:pPr>
              <w:pStyle w:val="22"/>
              <w:widowControl/>
              <w:autoSpaceDE w:val="0"/>
              <w:spacing w:before="100" w:beforeAutospacing="1"/>
              <w:jc w:val="left"/>
              <w:rPr>
                <w:rFonts w:cs="Times New Roman"/>
                <w:color w:val="000000"/>
                <w:sz w:val="20"/>
                <w:szCs w:val="20"/>
              </w:rPr>
            </w:pPr>
            <w:r>
              <w:rPr>
                <w:rFonts w:cs="Times New Roman"/>
                <w:color w:val="000000"/>
                <w:sz w:val="20"/>
                <w:szCs w:val="20"/>
              </w:rPr>
              <w:t>2.210977</w:t>
            </w:r>
          </w:p>
        </w:tc>
        <w:tc>
          <w:tcPr>
            <w:tcW w:w="844" w:type="pct"/>
            <w:tcBorders>
              <w:top w:val="nil"/>
              <w:left w:val="nil"/>
              <w:bottom w:val="nil"/>
              <w:right w:val="nil"/>
            </w:tcBorders>
          </w:tcPr>
          <w:p w14:paraId="6A37124F">
            <w:pPr>
              <w:pStyle w:val="22"/>
              <w:widowControl/>
              <w:autoSpaceDE w:val="0"/>
              <w:spacing w:before="100" w:beforeAutospacing="1"/>
              <w:rPr>
                <w:rFonts w:cs="Times New Roman"/>
                <w:color w:val="000000"/>
                <w:sz w:val="20"/>
                <w:szCs w:val="20"/>
              </w:rPr>
            </w:pPr>
            <w:r>
              <w:rPr>
                <w:rFonts w:cs="Times New Roman"/>
                <w:color w:val="000000"/>
                <w:sz w:val="20"/>
                <w:szCs w:val="20"/>
              </w:rPr>
              <w:t>-7.273631</w:t>
            </w:r>
          </w:p>
        </w:tc>
        <w:tc>
          <w:tcPr>
            <w:tcW w:w="843" w:type="pct"/>
            <w:gridSpan w:val="2"/>
            <w:tcBorders>
              <w:top w:val="nil"/>
              <w:left w:val="nil"/>
              <w:bottom w:val="nil"/>
              <w:right w:val="nil"/>
            </w:tcBorders>
          </w:tcPr>
          <w:p w14:paraId="5DC651FD">
            <w:pPr>
              <w:pStyle w:val="22"/>
              <w:widowControl/>
              <w:autoSpaceDE w:val="0"/>
              <w:spacing w:before="100" w:beforeAutospacing="1"/>
              <w:jc w:val="left"/>
              <w:rPr>
                <w:rFonts w:cs="Times New Roman"/>
                <w:color w:val="000000"/>
                <w:sz w:val="20"/>
                <w:szCs w:val="20"/>
              </w:rPr>
            </w:pPr>
            <w:r>
              <w:rPr>
                <w:rFonts w:cs="Times New Roman"/>
                <w:color w:val="000000"/>
                <w:sz w:val="20"/>
                <w:szCs w:val="20"/>
              </w:rPr>
              <w:t>0.5326593</w:t>
            </w:r>
          </w:p>
        </w:tc>
        <w:tc>
          <w:tcPr>
            <w:tcW w:w="909" w:type="pct"/>
            <w:tcBorders>
              <w:top w:val="nil"/>
              <w:left w:val="nil"/>
              <w:bottom w:val="nil"/>
              <w:right w:val="nil"/>
            </w:tcBorders>
          </w:tcPr>
          <w:p w14:paraId="1C444954">
            <w:pPr>
              <w:pStyle w:val="22"/>
              <w:widowControl/>
              <w:autoSpaceDE w:val="0"/>
              <w:spacing w:before="100" w:beforeAutospacing="1"/>
              <w:jc w:val="left"/>
              <w:rPr>
                <w:rFonts w:cs="Times New Roman"/>
                <w:color w:val="000000"/>
                <w:sz w:val="20"/>
                <w:szCs w:val="20"/>
              </w:rPr>
            </w:pPr>
            <w:r>
              <w:rPr>
                <w:rFonts w:cs="Times New Roman"/>
                <w:color w:val="000000"/>
                <w:sz w:val="20"/>
                <w:szCs w:val="20"/>
              </w:rPr>
              <w:t>2.288311</w:t>
            </w:r>
          </w:p>
        </w:tc>
      </w:tr>
      <w:tr w14:paraId="1AB82125">
        <w:trPr>
          <w:trHeight w:val="411" w:hRule="atLeast"/>
        </w:trPr>
        <w:tc>
          <w:tcPr>
            <w:tcW w:w="850" w:type="pct"/>
            <w:tcBorders>
              <w:top w:val="nil"/>
              <w:left w:val="nil"/>
              <w:bottom w:val="single" w:color="auto" w:sz="4" w:space="0"/>
              <w:right w:val="nil"/>
            </w:tcBorders>
          </w:tcPr>
          <w:p w14:paraId="48D43FC3">
            <w:pPr>
              <w:pStyle w:val="22"/>
              <w:widowControl/>
              <w:autoSpaceDE w:val="0"/>
              <w:spacing w:before="100" w:beforeAutospacing="1"/>
              <w:jc w:val="left"/>
              <w:rPr>
                <w:rFonts w:cs="Times New Roman"/>
                <w:color w:val="000000"/>
                <w:sz w:val="20"/>
                <w:szCs w:val="20"/>
              </w:rPr>
            </w:pPr>
          </w:p>
        </w:tc>
        <w:tc>
          <w:tcPr>
            <w:tcW w:w="730" w:type="pct"/>
            <w:tcBorders>
              <w:top w:val="nil"/>
              <w:left w:val="nil"/>
              <w:bottom w:val="single" w:color="auto" w:sz="4" w:space="0"/>
              <w:right w:val="nil"/>
            </w:tcBorders>
          </w:tcPr>
          <w:p w14:paraId="119EF1DD">
            <w:pPr>
              <w:pStyle w:val="22"/>
              <w:widowControl/>
              <w:autoSpaceDE w:val="0"/>
              <w:spacing w:before="100" w:beforeAutospacing="1"/>
              <w:jc w:val="left"/>
              <w:rPr>
                <w:rFonts w:cs="Times New Roman"/>
                <w:color w:val="000000"/>
                <w:sz w:val="20"/>
                <w:szCs w:val="20"/>
              </w:rPr>
            </w:pPr>
            <w:r>
              <w:rPr>
                <w:rFonts w:cs="Times New Roman"/>
                <w:color w:val="000000"/>
                <w:sz w:val="20"/>
                <w:szCs w:val="20"/>
              </w:rPr>
              <w:t>(4.023701)</w:t>
            </w:r>
          </w:p>
        </w:tc>
        <w:tc>
          <w:tcPr>
            <w:tcW w:w="824" w:type="pct"/>
            <w:tcBorders>
              <w:top w:val="nil"/>
              <w:left w:val="nil"/>
              <w:bottom w:val="single" w:color="auto" w:sz="4" w:space="0"/>
              <w:right w:val="nil"/>
            </w:tcBorders>
          </w:tcPr>
          <w:p w14:paraId="19B1637C">
            <w:pPr>
              <w:pStyle w:val="22"/>
              <w:widowControl/>
              <w:autoSpaceDE w:val="0"/>
              <w:spacing w:before="100" w:beforeAutospacing="1"/>
              <w:jc w:val="left"/>
              <w:rPr>
                <w:rFonts w:cs="Times New Roman"/>
                <w:color w:val="000000"/>
                <w:sz w:val="20"/>
                <w:szCs w:val="20"/>
              </w:rPr>
            </w:pPr>
            <w:r>
              <w:rPr>
                <w:rFonts w:cs="Times New Roman"/>
                <w:color w:val="000000"/>
                <w:sz w:val="20"/>
                <w:szCs w:val="20"/>
              </w:rPr>
              <w:t>(1.671921)</w:t>
            </w:r>
          </w:p>
        </w:tc>
        <w:tc>
          <w:tcPr>
            <w:tcW w:w="844" w:type="pct"/>
            <w:tcBorders>
              <w:top w:val="nil"/>
              <w:left w:val="nil"/>
              <w:bottom w:val="single" w:color="auto" w:sz="4" w:space="0"/>
              <w:right w:val="nil"/>
            </w:tcBorders>
          </w:tcPr>
          <w:p w14:paraId="4542485D">
            <w:pPr>
              <w:pStyle w:val="22"/>
              <w:widowControl/>
              <w:autoSpaceDE w:val="0"/>
              <w:spacing w:before="100" w:beforeAutospacing="1"/>
              <w:rPr>
                <w:rFonts w:cs="Times New Roman"/>
                <w:color w:val="000000"/>
                <w:sz w:val="20"/>
                <w:szCs w:val="20"/>
              </w:rPr>
            </w:pPr>
            <w:r>
              <w:rPr>
                <w:rFonts w:cs="Times New Roman"/>
                <w:color w:val="000000"/>
                <w:sz w:val="20"/>
                <w:szCs w:val="20"/>
              </w:rPr>
              <w:t>(5.831832)</w:t>
            </w:r>
          </w:p>
        </w:tc>
        <w:tc>
          <w:tcPr>
            <w:tcW w:w="843" w:type="pct"/>
            <w:gridSpan w:val="2"/>
            <w:tcBorders>
              <w:top w:val="nil"/>
              <w:left w:val="nil"/>
              <w:bottom w:val="single" w:color="auto" w:sz="4" w:space="0"/>
              <w:right w:val="nil"/>
            </w:tcBorders>
          </w:tcPr>
          <w:p w14:paraId="1ADEFA18">
            <w:pPr>
              <w:pStyle w:val="22"/>
              <w:widowControl/>
              <w:autoSpaceDE w:val="0"/>
              <w:spacing w:before="100" w:beforeAutospacing="1"/>
              <w:jc w:val="left"/>
              <w:rPr>
                <w:rFonts w:cs="Times New Roman"/>
                <w:color w:val="000000"/>
                <w:sz w:val="20"/>
                <w:szCs w:val="20"/>
              </w:rPr>
            </w:pPr>
            <w:r>
              <w:rPr>
                <w:rFonts w:cs="Times New Roman"/>
                <w:color w:val="000000"/>
                <w:sz w:val="20"/>
                <w:szCs w:val="20"/>
              </w:rPr>
              <w:t>(2.432079)</w:t>
            </w:r>
          </w:p>
        </w:tc>
        <w:tc>
          <w:tcPr>
            <w:tcW w:w="909" w:type="pct"/>
            <w:tcBorders>
              <w:top w:val="nil"/>
              <w:left w:val="nil"/>
              <w:bottom w:val="single" w:color="auto" w:sz="4" w:space="0"/>
              <w:right w:val="nil"/>
            </w:tcBorders>
          </w:tcPr>
          <w:p w14:paraId="772D2A2E">
            <w:pPr>
              <w:pStyle w:val="22"/>
              <w:widowControl/>
              <w:autoSpaceDE w:val="0"/>
              <w:spacing w:before="100" w:beforeAutospacing="1"/>
              <w:jc w:val="left"/>
              <w:rPr>
                <w:rFonts w:cs="Times New Roman"/>
                <w:color w:val="000000"/>
                <w:sz w:val="20"/>
                <w:szCs w:val="20"/>
              </w:rPr>
            </w:pPr>
            <w:r>
              <w:rPr>
                <w:rFonts w:cs="Times New Roman"/>
                <w:color w:val="000000"/>
                <w:sz w:val="20"/>
                <w:szCs w:val="20"/>
              </w:rPr>
              <w:t>(5.24369)</w:t>
            </w:r>
          </w:p>
        </w:tc>
      </w:tr>
      <w:tr w14:paraId="3A569186">
        <w:trPr>
          <w:trHeight w:val="411" w:hRule="atLeast"/>
        </w:trPr>
        <w:tc>
          <w:tcPr>
            <w:tcW w:w="850" w:type="pct"/>
            <w:tcBorders>
              <w:top w:val="single" w:color="auto" w:sz="4" w:space="0"/>
              <w:left w:val="nil"/>
              <w:bottom w:val="nil"/>
              <w:right w:val="nil"/>
            </w:tcBorders>
          </w:tcPr>
          <w:p w14:paraId="24DC5AA4">
            <w:pPr>
              <w:pStyle w:val="22"/>
              <w:widowControl/>
              <w:autoSpaceDE w:val="0"/>
              <w:spacing w:before="100" w:beforeAutospacing="1"/>
              <w:jc w:val="left"/>
              <w:rPr>
                <w:rFonts w:cs="Times New Roman"/>
                <w:color w:val="000000"/>
                <w:sz w:val="20"/>
                <w:szCs w:val="20"/>
              </w:rPr>
            </w:pPr>
            <m:oMathPara>
              <m:oMathParaPr>
                <m:jc m:val="left"/>
              </m:oMathParaPr>
              <m:oMath>
                <m:sSup>
                  <m:sSupPr>
                    <m:ctrlPr>
                      <w:rPr>
                        <w:rFonts w:ascii="Cambria Math" w:hAnsi="Cambria Math" w:eastAsia="宋体" w:cs="Times New Roman"/>
                        <w:bCs w:val="0"/>
                        <w:i/>
                        <w:color w:val="000000"/>
                        <w:kern w:val="2"/>
                        <w:sz w:val="20"/>
                        <w:szCs w:val="20"/>
                      </w:rPr>
                    </m:ctrlPr>
                  </m:sSupPr>
                  <m:e>
                    <m:r>
                      <m:rPr/>
                      <w:rPr>
                        <w:rFonts w:ascii="Cambria Math" w:hAnsi="Cambria Math" w:cs="Times New Roman"/>
                        <w:color w:val="000000"/>
                        <w:sz w:val="20"/>
                        <w:szCs w:val="20"/>
                      </w:rPr>
                      <m:t>R</m:t>
                    </m:r>
                    <m:ctrlPr>
                      <w:rPr>
                        <w:rFonts w:ascii="Cambria Math" w:hAnsi="Cambria Math" w:eastAsia="宋体" w:cs="Times New Roman"/>
                        <w:bCs w:val="0"/>
                        <w:i/>
                        <w:color w:val="000000"/>
                        <w:kern w:val="2"/>
                        <w:sz w:val="20"/>
                        <w:szCs w:val="20"/>
                      </w:rPr>
                    </m:ctrlPr>
                  </m:e>
                  <m:sup>
                    <m:r>
                      <m:rPr/>
                      <w:rPr>
                        <w:rFonts w:ascii="Cambria Math" w:hAnsi="Cambria Math" w:cs="Times New Roman"/>
                        <w:color w:val="000000"/>
                        <w:sz w:val="20"/>
                        <w:szCs w:val="20"/>
                      </w:rPr>
                      <m:t>2</m:t>
                    </m:r>
                    <m:ctrlPr>
                      <w:rPr>
                        <w:rFonts w:ascii="Cambria Math" w:hAnsi="Cambria Math" w:eastAsia="宋体" w:cs="Times New Roman"/>
                        <w:bCs w:val="0"/>
                        <w:i/>
                        <w:color w:val="000000"/>
                        <w:kern w:val="2"/>
                        <w:sz w:val="20"/>
                        <w:szCs w:val="20"/>
                      </w:rPr>
                    </m:ctrlPr>
                  </m:sup>
                </m:sSup>
              </m:oMath>
            </m:oMathPara>
          </w:p>
        </w:tc>
        <w:tc>
          <w:tcPr>
            <w:tcW w:w="730" w:type="pct"/>
            <w:tcBorders>
              <w:top w:val="single" w:color="auto" w:sz="4" w:space="0"/>
              <w:left w:val="nil"/>
              <w:bottom w:val="nil"/>
              <w:right w:val="nil"/>
            </w:tcBorders>
          </w:tcPr>
          <w:p w14:paraId="348E0305">
            <w:pPr>
              <w:pStyle w:val="22"/>
              <w:widowControl/>
              <w:autoSpaceDE w:val="0"/>
              <w:spacing w:before="100" w:beforeAutospacing="1"/>
              <w:jc w:val="left"/>
              <w:rPr>
                <w:rFonts w:cs="Times New Roman"/>
                <w:color w:val="000000"/>
                <w:sz w:val="20"/>
                <w:szCs w:val="20"/>
              </w:rPr>
            </w:pPr>
            <w:r>
              <w:rPr>
                <w:rFonts w:cs="Times New Roman"/>
                <w:color w:val="000000"/>
                <w:sz w:val="20"/>
                <w:szCs w:val="20"/>
              </w:rPr>
              <w:t>0.4922</w:t>
            </w:r>
          </w:p>
        </w:tc>
        <w:tc>
          <w:tcPr>
            <w:tcW w:w="824" w:type="pct"/>
            <w:tcBorders>
              <w:top w:val="single" w:color="auto" w:sz="4" w:space="0"/>
              <w:left w:val="nil"/>
              <w:bottom w:val="nil"/>
              <w:right w:val="nil"/>
            </w:tcBorders>
          </w:tcPr>
          <w:p w14:paraId="4716AE8F">
            <w:pPr>
              <w:pStyle w:val="22"/>
              <w:widowControl/>
              <w:autoSpaceDE w:val="0"/>
              <w:spacing w:before="100" w:beforeAutospacing="1"/>
              <w:jc w:val="left"/>
              <w:rPr>
                <w:rFonts w:cs="Times New Roman"/>
                <w:color w:val="000000"/>
                <w:sz w:val="20"/>
                <w:szCs w:val="20"/>
              </w:rPr>
            </w:pPr>
            <w:r>
              <w:rPr>
                <w:rFonts w:cs="Times New Roman"/>
                <w:color w:val="000000"/>
                <w:sz w:val="20"/>
                <w:szCs w:val="20"/>
              </w:rPr>
              <w:t>0.3267</w:t>
            </w:r>
          </w:p>
        </w:tc>
        <w:tc>
          <w:tcPr>
            <w:tcW w:w="844" w:type="pct"/>
            <w:tcBorders>
              <w:top w:val="single" w:color="auto" w:sz="4" w:space="0"/>
              <w:left w:val="nil"/>
              <w:bottom w:val="nil"/>
              <w:right w:val="nil"/>
            </w:tcBorders>
          </w:tcPr>
          <w:p w14:paraId="4C337253">
            <w:pPr>
              <w:pStyle w:val="22"/>
              <w:widowControl/>
              <w:autoSpaceDE w:val="0"/>
              <w:spacing w:before="100" w:beforeAutospacing="1"/>
              <w:rPr>
                <w:rFonts w:cs="Times New Roman"/>
                <w:color w:val="000000"/>
                <w:sz w:val="20"/>
                <w:szCs w:val="20"/>
              </w:rPr>
            </w:pPr>
            <w:r>
              <w:rPr>
                <w:rFonts w:cs="Times New Roman"/>
                <w:color w:val="000000"/>
                <w:sz w:val="20"/>
                <w:szCs w:val="20"/>
              </w:rPr>
              <w:t>0.7248</w:t>
            </w:r>
          </w:p>
        </w:tc>
        <w:tc>
          <w:tcPr>
            <w:tcW w:w="843" w:type="pct"/>
            <w:gridSpan w:val="2"/>
            <w:tcBorders>
              <w:top w:val="single" w:color="auto" w:sz="4" w:space="0"/>
              <w:left w:val="nil"/>
              <w:bottom w:val="nil"/>
              <w:right w:val="nil"/>
            </w:tcBorders>
          </w:tcPr>
          <w:p w14:paraId="6CB5B3D7">
            <w:pPr>
              <w:pStyle w:val="22"/>
              <w:widowControl/>
              <w:autoSpaceDE w:val="0"/>
              <w:spacing w:before="100" w:beforeAutospacing="1"/>
              <w:jc w:val="left"/>
              <w:rPr>
                <w:rFonts w:cs="Times New Roman"/>
                <w:color w:val="000000"/>
                <w:sz w:val="20"/>
                <w:szCs w:val="20"/>
              </w:rPr>
            </w:pPr>
            <w:r>
              <w:rPr>
                <w:rFonts w:cs="Times New Roman"/>
                <w:color w:val="000000"/>
                <w:sz w:val="20"/>
                <w:szCs w:val="20"/>
              </w:rPr>
              <w:t>0.2110</w:t>
            </w:r>
          </w:p>
        </w:tc>
        <w:tc>
          <w:tcPr>
            <w:tcW w:w="909" w:type="pct"/>
            <w:tcBorders>
              <w:top w:val="single" w:color="auto" w:sz="4" w:space="0"/>
              <w:left w:val="nil"/>
              <w:bottom w:val="nil"/>
              <w:right w:val="nil"/>
            </w:tcBorders>
          </w:tcPr>
          <w:p w14:paraId="11C12935">
            <w:pPr>
              <w:pStyle w:val="22"/>
              <w:widowControl/>
              <w:autoSpaceDE w:val="0"/>
              <w:spacing w:before="100" w:beforeAutospacing="1"/>
              <w:jc w:val="left"/>
              <w:rPr>
                <w:rFonts w:cs="Times New Roman"/>
                <w:color w:val="000000"/>
                <w:sz w:val="20"/>
                <w:szCs w:val="20"/>
              </w:rPr>
            </w:pPr>
            <w:r>
              <w:rPr>
                <w:rFonts w:cs="Times New Roman"/>
                <w:color w:val="000000"/>
                <w:sz w:val="20"/>
                <w:szCs w:val="20"/>
              </w:rPr>
              <w:t>0.3004</w:t>
            </w:r>
          </w:p>
        </w:tc>
      </w:tr>
      <w:tr w14:paraId="26686ED3">
        <w:trPr>
          <w:trHeight w:val="411" w:hRule="atLeast"/>
        </w:trPr>
        <w:tc>
          <w:tcPr>
            <w:tcW w:w="850" w:type="pct"/>
            <w:tcBorders>
              <w:top w:val="single" w:color="auto" w:sz="4" w:space="0"/>
              <w:left w:val="nil"/>
              <w:bottom w:val="nil"/>
              <w:right w:val="nil"/>
            </w:tcBorders>
          </w:tcPr>
          <w:p w14:paraId="26198F28">
            <w:pPr>
              <w:pStyle w:val="22"/>
              <w:widowControl/>
              <w:autoSpaceDE w:val="0"/>
              <w:spacing w:before="100" w:beforeAutospacing="1"/>
              <w:jc w:val="left"/>
              <w:rPr>
                <w:rFonts w:cs="Times New Roman"/>
                <w:color w:val="000000"/>
                <w:sz w:val="20"/>
                <w:szCs w:val="20"/>
              </w:rPr>
            </w:pPr>
            <w:r>
              <w:rPr>
                <w:rFonts w:cs="Times New Roman"/>
                <w:color w:val="000000"/>
                <w:sz w:val="20"/>
                <w:szCs w:val="20"/>
              </w:rPr>
              <w:t>Number of observations</w:t>
            </w:r>
          </w:p>
        </w:tc>
        <w:tc>
          <w:tcPr>
            <w:tcW w:w="730" w:type="pct"/>
            <w:tcBorders>
              <w:top w:val="single" w:color="auto" w:sz="4" w:space="0"/>
              <w:left w:val="nil"/>
              <w:bottom w:val="nil"/>
              <w:right w:val="nil"/>
            </w:tcBorders>
          </w:tcPr>
          <w:p w14:paraId="3D95C454">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c>
          <w:tcPr>
            <w:tcW w:w="824" w:type="pct"/>
            <w:tcBorders>
              <w:top w:val="single" w:color="auto" w:sz="4" w:space="0"/>
              <w:left w:val="nil"/>
              <w:bottom w:val="nil"/>
              <w:right w:val="nil"/>
            </w:tcBorders>
          </w:tcPr>
          <w:p w14:paraId="35999957">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c>
          <w:tcPr>
            <w:tcW w:w="844" w:type="pct"/>
            <w:tcBorders>
              <w:top w:val="single" w:color="auto" w:sz="4" w:space="0"/>
              <w:left w:val="nil"/>
              <w:bottom w:val="nil"/>
              <w:right w:val="nil"/>
            </w:tcBorders>
          </w:tcPr>
          <w:p w14:paraId="609C7BBD">
            <w:pPr>
              <w:pStyle w:val="22"/>
              <w:widowControl/>
              <w:autoSpaceDE w:val="0"/>
              <w:spacing w:before="100" w:beforeAutospacing="1"/>
              <w:rPr>
                <w:rFonts w:cs="Times New Roman"/>
                <w:color w:val="000000"/>
                <w:sz w:val="20"/>
                <w:szCs w:val="20"/>
              </w:rPr>
            </w:pPr>
            <w:r>
              <w:rPr>
                <w:rFonts w:cs="Times New Roman"/>
                <w:color w:val="000000"/>
                <w:sz w:val="20"/>
                <w:szCs w:val="20"/>
              </w:rPr>
              <w:t>325</w:t>
            </w:r>
          </w:p>
        </w:tc>
        <w:tc>
          <w:tcPr>
            <w:tcW w:w="843" w:type="pct"/>
            <w:gridSpan w:val="2"/>
            <w:tcBorders>
              <w:top w:val="single" w:color="auto" w:sz="4" w:space="0"/>
              <w:left w:val="nil"/>
              <w:bottom w:val="nil"/>
              <w:right w:val="nil"/>
            </w:tcBorders>
          </w:tcPr>
          <w:p w14:paraId="6E43F965">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c>
          <w:tcPr>
            <w:tcW w:w="909" w:type="pct"/>
            <w:tcBorders>
              <w:top w:val="single" w:color="auto" w:sz="4" w:space="0"/>
              <w:left w:val="nil"/>
              <w:bottom w:val="nil"/>
              <w:right w:val="nil"/>
            </w:tcBorders>
          </w:tcPr>
          <w:p w14:paraId="40C37B92">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r>
      <w:tr w14:paraId="0CB7E0CB">
        <w:trPr>
          <w:trHeight w:val="411" w:hRule="atLeast"/>
        </w:trPr>
        <w:tc>
          <w:tcPr>
            <w:tcW w:w="850" w:type="pct"/>
            <w:tcBorders>
              <w:top w:val="nil"/>
              <w:left w:val="nil"/>
              <w:bottom w:val="single" w:color="000000" w:sz="4" w:space="0"/>
              <w:right w:val="nil"/>
            </w:tcBorders>
          </w:tcPr>
          <w:p w14:paraId="0F7065E1">
            <w:pPr>
              <w:pStyle w:val="22"/>
              <w:widowControl/>
              <w:autoSpaceDE w:val="0"/>
              <w:spacing w:before="100" w:beforeAutospacing="1"/>
              <w:jc w:val="left"/>
              <w:rPr>
                <w:rFonts w:cs="Times New Roman"/>
                <w:color w:val="000000"/>
                <w:sz w:val="20"/>
                <w:szCs w:val="20"/>
              </w:rPr>
            </w:pPr>
            <w:r>
              <w:rPr>
                <w:rFonts w:cs="Times New Roman"/>
                <w:color w:val="000000"/>
                <w:sz w:val="20"/>
                <w:szCs w:val="20"/>
              </w:rPr>
              <w:t>Number of countries</w:t>
            </w:r>
          </w:p>
        </w:tc>
        <w:tc>
          <w:tcPr>
            <w:tcW w:w="730" w:type="pct"/>
            <w:tcBorders>
              <w:top w:val="nil"/>
              <w:left w:val="nil"/>
              <w:bottom w:val="single" w:color="000000" w:sz="4" w:space="0"/>
              <w:right w:val="nil"/>
            </w:tcBorders>
          </w:tcPr>
          <w:p w14:paraId="66011851">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c>
          <w:tcPr>
            <w:tcW w:w="824" w:type="pct"/>
            <w:tcBorders>
              <w:top w:val="nil"/>
              <w:left w:val="nil"/>
              <w:bottom w:val="single" w:color="000000" w:sz="4" w:space="0"/>
              <w:right w:val="nil"/>
            </w:tcBorders>
          </w:tcPr>
          <w:p w14:paraId="530EC260">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c>
          <w:tcPr>
            <w:tcW w:w="844" w:type="pct"/>
            <w:tcBorders>
              <w:top w:val="nil"/>
              <w:left w:val="nil"/>
              <w:bottom w:val="single" w:color="000000" w:sz="4" w:space="0"/>
              <w:right w:val="nil"/>
            </w:tcBorders>
          </w:tcPr>
          <w:p w14:paraId="7843CCBD">
            <w:pPr>
              <w:pStyle w:val="22"/>
              <w:widowControl/>
              <w:autoSpaceDE w:val="0"/>
              <w:spacing w:before="100" w:beforeAutospacing="1"/>
              <w:rPr>
                <w:rFonts w:cs="Times New Roman"/>
                <w:color w:val="000000"/>
                <w:sz w:val="20"/>
                <w:szCs w:val="20"/>
              </w:rPr>
            </w:pPr>
            <w:r>
              <w:rPr>
                <w:rFonts w:cs="Times New Roman"/>
                <w:color w:val="000000"/>
                <w:sz w:val="20"/>
                <w:szCs w:val="20"/>
              </w:rPr>
              <w:t>13</w:t>
            </w:r>
          </w:p>
        </w:tc>
        <w:tc>
          <w:tcPr>
            <w:tcW w:w="843" w:type="pct"/>
            <w:gridSpan w:val="2"/>
            <w:tcBorders>
              <w:top w:val="nil"/>
              <w:left w:val="nil"/>
              <w:bottom w:val="single" w:color="000000" w:sz="4" w:space="0"/>
              <w:right w:val="nil"/>
            </w:tcBorders>
          </w:tcPr>
          <w:p w14:paraId="5C127621">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c>
          <w:tcPr>
            <w:tcW w:w="909" w:type="pct"/>
            <w:tcBorders>
              <w:top w:val="nil"/>
              <w:left w:val="nil"/>
              <w:bottom w:val="single" w:color="000000" w:sz="4" w:space="0"/>
              <w:right w:val="nil"/>
            </w:tcBorders>
          </w:tcPr>
          <w:p w14:paraId="4B4AB969">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r>
    </w:tbl>
    <w:p w14:paraId="6C3507E0">
      <w:pPr>
        <w:spacing w:after="468" w:afterLines="150"/>
        <w:rPr>
          <w:rFonts w:cs="Times New Roman" w:eastAsiaTheme="minorEastAsia"/>
          <w:b w:val="0"/>
          <w:bCs/>
        </w:rPr>
      </w:pPr>
    </w:p>
    <w:p w14:paraId="497C0892">
      <w:pPr>
        <w:pStyle w:val="7"/>
      </w:pPr>
      <w:bookmarkStart w:id="126" w:name="_Toc216867800"/>
      <w:r>
        <w:t xml:space="preserve">Table </w:t>
      </w:r>
      <w:r>
        <w:rPr>
          <w:rFonts w:hint="eastAsia" w:eastAsia="宋体"/>
          <w:lang w:val="en-US" w:eastAsia="zh-CN"/>
        </w:rPr>
        <w:t xml:space="preserve">11 </w:t>
      </w:r>
      <w:r>
        <w:t>Robustness Test Using Winsorized Typhoon Intensity: Model 1</w:t>
      </w:r>
      <w:bookmarkEnd w:id="126"/>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345"/>
        <w:gridCol w:w="1232"/>
        <w:gridCol w:w="1500"/>
        <w:gridCol w:w="1551"/>
        <w:gridCol w:w="1549"/>
      </w:tblGrid>
      <w:tr w14:paraId="6296D713">
        <w:tc>
          <w:tcPr>
            <w:tcW w:w="747" w:type="pct"/>
            <w:tcBorders>
              <w:top w:val="single" w:color="auto" w:sz="4" w:space="0"/>
              <w:left w:val="nil"/>
              <w:bottom w:val="nil"/>
              <w:right w:val="nil"/>
            </w:tcBorders>
          </w:tcPr>
          <w:p w14:paraId="3661ADF8">
            <w:pPr>
              <w:pStyle w:val="69"/>
              <w:spacing w:line="360" w:lineRule="auto"/>
              <w:rPr>
                <w:rFonts w:ascii="Times New Roman" w:hAnsi="Times New Roman"/>
                <w:color w:val="000000"/>
                <w:sz w:val="20"/>
                <w:szCs w:val="20"/>
              </w:rPr>
            </w:pPr>
            <w:r>
              <w:rPr>
                <w:rFonts w:ascii="Times New Roman" w:hAnsi="Times New Roman"/>
                <w:color w:val="000000"/>
                <w:sz w:val="20"/>
                <w:szCs w:val="20"/>
              </w:rPr>
              <w:t>Dependent variable</w:t>
            </w:r>
          </w:p>
        </w:tc>
        <w:tc>
          <w:tcPr>
            <w:tcW w:w="797" w:type="pct"/>
            <w:tcBorders>
              <w:top w:val="single" w:color="auto" w:sz="4" w:space="0"/>
              <w:left w:val="nil"/>
              <w:bottom w:val="single" w:color="auto" w:sz="4" w:space="0"/>
              <w:right w:val="nil"/>
            </w:tcBorders>
            <w:vAlign w:val="center"/>
          </w:tcPr>
          <w:p w14:paraId="5C5BD045">
            <w:pPr>
              <w:pStyle w:val="69"/>
              <w:spacing w:line="360" w:lineRule="auto"/>
              <w:rPr>
                <w:rFonts w:ascii="Times New Roman" w:hAnsi="Times New Roman"/>
                <w:color w:val="000000"/>
                <w:sz w:val="20"/>
                <w:szCs w:val="20"/>
              </w:rPr>
            </w:pPr>
            <w:r>
              <w:rPr>
                <w:rFonts w:ascii="Times New Roman" w:hAnsi="Times New Roman"/>
                <w:color w:val="000000"/>
                <w:sz w:val="20"/>
                <w:szCs w:val="20"/>
              </w:rPr>
              <w:t>(1) GDP</w:t>
            </w:r>
          </w:p>
        </w:tc>
        <w:tc>
          <w:tcPr>
            <w:tcW w:w="730" w:type="pct"/>
            <w:tcBorders>
              <w:top w:val="single" w:color="auto" w:sz="4" w:space="0"/>
              <w:left w:val="nil"/>
              <w:bottom w:val="single" w:color="auto" w:sz="4" w:space="0"/>
              <w:right w:val="nil"/>
            </w:tcBorders>
            <w:vAlign w:val="center"/>
          </w:tcPr>
          <w:p w14:paraId="4951C45A">
            <w:pPr>
              <w:pStyle w:val="69"/>
              <w:spacing w:line="360" w:lineRule="auto"/>
              <w:rPr>
                <w:rFonts w:ascii="Times New Roman" w:hAnsi="Times New Roman"/>
                <w:color w:val="000000"/>
                <w:sz w:val="20"/>
                <w:szCs w:val="20"/>
              </w:rPr>
            </w:pPr>
            <w:r>
              <w:rPr>
                <w:rFonts w:ascii="Times New Roman" w:hAnsi="Times New Roman"/>
                <w:color w:val="000000"/>
                <w:sz w:val="20"/>
                <w:szCs w:val="20"/>
              </w:rPr>
              <w:t>(2) UE</w:t>
            </w:r>
          </w:p>
        </w:tc>
        <w:tc>
          <w:tcPr>
            <w:tcW w:w="889" w:type="pct"/>
            <w:tcBorders>
              <w:top w:val="single" w:color="auto" w:sz="4" w:space="0"/>
              <w:left w:val="nil"/>
              <w:bottom w:val="single" w:color="auto" w:sz="4" w:space="0"/>
              <w:right w:val="nil"/>
            </w:tcBorders>
            <w:vAlign w:val="center"/>
          </w:tcPr>
          <w:p w14:paraId="60E69001">
            <w:pPr>
              <w:pStyle w:val="69"/>
              <w:spacing w:line="360" w:lineRule="auto"/>
              <w:rPr>
                <w:rFonts w:ascii="Times New Roman" w:hAnsi="Times New Roman"/>
                <w:color w:val="000000"/>
                <w:sz w:val="20"/>
                <w:szCs w:val="20"/>
              </w:rPr>
            </w:pPr>
            <w:r>
              <w:rPr>
                <w:rFonts w:ascii="Times New Roman" w:hAnsi="Times New Roman"/>
                <w:color w:val="000000"/>
                <w:sz w:val="20"/>
                <w:szCs w:val="20"/>
              </w:rPr>
              <w:t>(3) AR</w:t>
            </w:r>
          </w:p>
        </w:tc>
        <w:tc>
          <w:tcPr>
            <w:tcW w:w="919" w:type="pct"/>
            <w:tcBorders>
              <w:top w:val="single" w:color="auto" w:sz="4" w:space="0"/>
              <w:left w:val="nil"/>
              <w:bottom w:val="single" w:color="auto" w:sz="4" w:space="0"/>
              <w:right w:val="nil"/>
            </w:tcBorders>
            <w:vAlign w:val="center"/>
          </w:tcPr>
          <w:p w14:paraId="082F5201">
            <w:pPr>
              <w:pStyle w:val="69"/>
              <w:spacing w:line="360" w:lineRule="auto"/>
              <w:rPr>
                <w:rFonts w:ascii="Times New Roman" w:hAnsi="Times New Roman"/>
                <w:color w:val="000000"/>
                <w:sz w:val="20"/>
                <w:szCs w:val="20"/>
              </w:rPr>
            </w:pPr>
            <w:r>
              <w:rPr>
                <w:rFonts w:ascii="Times New Roman" w:hAnsi="Times New Roman"/>
                <w:color w:val="000000"/>
                <w:sz w:val="20"/>
                <w:szCs w:val="20"/>
              </w:rPr>
              <w:t>(4) FDI</w:t>
            </w:r>
          </w:p>
        </w:tc>
        <w:tc>
          <w:tcPr>
            <w:tcW w:w="918" w:type="pct"/>
            <w:tcBorders>
              <w:top w:val="single" w:color="auto" w:sz="4" w:space="0"/>
              <w:left w:val="nil"/>
              <w:bottom w:val="single" w:color="auto" w:sz="4" w:space="0"/>
              <w:right w:val="nil"/>
            </w:tcBorders>
            <w:vAlign w:val="center"/>
          </w:tcPr>
          <w:p w14:paraId="1A69A976">
            <w:pPr>
              <w:pStyle w:val="69"/>
              <w:spacing w:line="360" w:lineRule="auto"/>
              <w:rPr>
                <w:rFonts w:ascii="Times New Roman" w:hAnsi="Times New Roman"/>
                <w:color w:val="000000"/>
                <w:sz w:val="20"/>
                <w:szCs w:val="20"/>
              </w:rPr>
            </w:pPr>
            <w:r>
              <w:rPr>
                <w:rFonts w:ascii="Times New Roman" w:hAnsi="Times New Roman"/>
                <w:color w:val="000000"/>
                <w:sz w:val="20"/>
                <w:szCs w:val="20"/>
              </w:rPr>
              <w:t>(5) INFLA</w:t>
            </w:r>
          </w:p>
        </w:tc>
      </w:tr>
      <w:tr w14:paraId="4EAE897A">
        <w:tc>
          <w:tcPr>
            <w:tcW w:w="747" w:type="pct"/>
            <w:tcBorders>
              <w:top w:val="nil"/>
              <w:left w:val="nil"/>
              <w:bottom w:val="nil"/>
              <w:right w:val="nil"/>
            </w:tcBorders>
          </w:tcPr>
          <w:p w14:paraId="4FC5F17B">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797" w:type="pct"/>
            <w:tcBorders>
              <w:top w:val="single" w:color="auto" w:sz="4" w:space="0"/>
              <w:left w:val="nil"/>
              <w:bottom w:val="single" w:color="auto" w:sz="4" w:space="0"/>
              <w:right w:val="nil"/>
            </w:tcBorders>
            <w:vAlign w:val="center"/>
          </w:tcPr>
          <w:p w14:paraId="77CDE601">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730" w:type="pct"/>
            <w:tcBorders>
              <w:top w:val="single" w:color="auto" w:sz="4" w:space="0"/>
              <w:left w:val="nil"/>
              <w:bottom w:val="single" w:color="auto" w:sz="4" w:space="0"/>
              <w:right w:val="nil"/>
            </w:tcBorders>
            <w:vAlign w:val="center"/>
          </w:tcPr>
          <w:p w14:paraId="30FDAAE7">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89" w:type="pct"/>
            <w:tcBorders>
              <w:top w:val="single" w:color="auto" w:sz="4" w:space="0"/>
              <w:left w:val="nil"/>
              <w:bottom w:val="single" w:color="auto" w:sz="4" w:space="0"/>
              <w:right w:val="nil"/>
            </w:tcBorders>
            <w:vAlign w:val="center"/>
          </w:tcPr>
          <w:p w14:paraId="0E922109">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19" w:type="pct"/>
            <w:tcBorders>
              <w:top w:val="single" w:color="auto" w:sz="4" w:space="0"/>
              <w:left w:val="nil"/>
              <w:bottom w:val="single" w:color="auto" w:sz="4" w:space="0"/>
              <w:right w:val="nil"/>
            </w:tcBorders>
            <w:vAlign w:val="center"/>
          </w:tcPr>
          <w:p w14:paraId="170A03D4">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18" w:type="pct"/>
            <w:tcBorders>
              <w:top w:val="single" w:color="auto" w:sz="4" w:space="0"/>
              <w:left w:val="nil"/>
              <w:bottom w:val="single" w:color="auto" w:sz="4" w:space="0"/>
              <w:right w:val="nil"/>
            </w:tcBorders>
            <w:vAlign w:val="center"/>
          </w:tcPr>
          <w:p w14:paraId="7641A046">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17BBB596">
        <w:tc>
          <w:tcPr>
            <w:tcW w:w="747" w:type="pct"/>
            <w:tcBorders>
              <w:top w:val="single" w:color="auto" w:sz="4" w:space="0"/>
              <w:left w:val="nil"/>
              <w:bottom w:val="nil"/>
              <w:right w:val="nil"/>
            </w:tcBorders>
          </w:tcPr>
          <w:p w14:paraId="18DCE451">
            <w:pPr>
              <w:pStyle w:val="69"/>
              <w:spacing w:line="360" w:lineRule="auto"/>
              <w:rPr>
                <w:rFonts w:ascii="Times New Roman" w:hAnsi="Times New Roman"/>
                <w:b/>
                <w:bCs/>
                <w:color w:val="000000"/>
                <w:sz w:val="20"/>
                <w:szCs w:val="20"/>
              </w:rPr>
            </w:pPr>
            <w:r>
              <w:rPr>
                <w:rFonts w:ascii="Times New Roman" w:hAnsi="Times New Roman"/>
                <w:b/>
                <w:bCs/>
                <w:color w:val="000000"/>
                <w:sz w:val="20"/>
                <w:szCs w:val="20"/>
              </w:rPr>
              <w:t xml:space="preserve">TEI_agri </w:t>
            </w:r>
          </w:p>
        </w:tc>
        <w:tc>
          <w:tcPr>
            <w:tcW w:w="797" w:type="pct"/>
            <w:tcBorders>
              <w:top w:val="single" w:color="auto" w:sz="4" w:space="0"/>
              <w:left w:val="nil"/>
              <w:bottom w:val="nil"/>
              <w:right w:val="nil"/>
            </w:tcBorders>
          </w:tcPr>
          <w:p w14:paraId="6D2FA67A">
            <w:pPr>
              <w:pStyle w:val="69"/>
              <w:spacing w:line="360" w:lineRule="auto"/>
              <w:rPr>
                <w:rFonts w:ascii="Times New Roman" w:hAnsi="Times New Roman"/>
                <w:color w:val="000000"/>
                <w:sz w:val="20"/>
                <w:szCs w:val="20"/>
              </w:rPr>
            </w:pPr>
            <w:r>
              <w:rPr>
                <w:rFonts w:ascii="Times New Roman" w:hAnsi="Times New Roman"/>
                <w:color w:val="000000"/>
                <w:sz w:val="20"/>
                <w:szCs w:val="20"/>
              </w:rPr>
              <w:t>0.0094983**</w:t>
            </w:r>
          </w:p>
        </w:tc>
        <w:tc>
          <w:tcPr>
            <w:tcW w:w="730" w:type="pct"/>
            <w:tcBorders>
              <w:top w:val="single" w:color="auto" w:sz="4" w:space="0"/>
              <w:left w:val="nil"/>
              <w:bottom w:val="nil"/>
              <w:right w:val="nil"/>
            </w:tcBorders>
          </w:tcPr>
          <w:p w14:paraId="58129938">
            <w:pPr>
              <w:pStyle w:val="69"/>
              <w:spacing w:line="360" w:lineRule="auto"/>
              <w:rPr>
                <w:rFonts w:ascii="Times New Roman" w:hAnsi="Times New Roman"/>
                <w:color w:val="000000"/>
                <w:sz w:val="20"/>
                <w:szCs w:val="20"/>
              </w:rPr>
            </w:pPr>
            <w:r>
              <w:rPr>
                <w:rFonts w:ascii="Times New Roman" w:hAnsi="Times New Roman"/>
                <w:color w:val="000000"/>
                <w:sz w:val="20"/>
                <w:szCs w:val="20"/>
              </w:rPr>
              <w:t>-0.0016139</w:t>
            </w:r>
          </w:p>
        </w:tc>
        <w:tc>
          <w:tcPr>
            <w:tcW w:w="889" w:type="pct"/>
            <w:tcBorders>
              <w:top w:val="single" w:color="auto" w:sz="4" w:space="0"/>
              <w:left w:val="nil"/>
              <w:bottom w:val="nil"/>
              <w:right w:val="nil"/>
            </w:tcBorders>
          </w:tcPr>
          <w:p w14:paraId="5C8CDFC5">
            <w:pPr>
              <w:pStyle w:val="69"/>
              <w:spacing w:line="360" w:lineRule="auto"/>
              <w:rPr>
                <w:rFonts w:ascii="Times New Roman" w:hAnsi="Times New Roman"/>
                <w:color w:val="000000"/>
                <w:sz w:val="20"/>
                <w:szCs w:val="20"/>
              </w:rPr>
            </w:pPr>
            <w:r>
              <w:rPr>
                <w:rFonts w:ascii="Times New Roman" w:hAnsi="Times New Roman"/>
                <w:color w:val="000000"/>
                <w:sz w:val="20"/>
                <w:szCs w:val="20"/>
              </w:rPr>
              <w:t>0.0216031***</w:t>
            </w:r>
          </w:p>
        </w:tc>
        <w:tc>
          <w:tcPr>
            <w:tcW w:w="919" w:type="pct"/>
            <w:tcBorders>
              <w:top w:val="single" w:color="auto" w:sz="4" w:space="0"/>
              <w:left w:val="nil"/>
              <w:bottom w:val="nil"/>
              <w:right w:val="nil"/>
            </w:tcBorders>
          </w:tcPr>
          <w:p w14:paraId="23716E05">
            <w:pPr>
              <w:pStyle w:val="69"/>
              <w:spacing w:line="360" w:lineRule="auto"/>
              <w:rPr>
                <w:rFonts w:ascii="Times New Roman" w:hAnsi="Times New Roman"/>
                <w:color w:val="000000"/>
                <w:sz w:val="20"/>
                <w:szCs w:val="20"/>
              </w:rPr>
            </w:pPr>
            <w:r>
              <w:rPr>
                <w:rFonts w:ascii="Times New Roman" w:hAnsi="Times New Roman"/>
                <w:color w:val="000000"/>
                <w:sz w:val="20"/>
                <w:szCs w:val="20"/>
              </w:rPr>
              <w:t>0.0005482</w:t>
            </w:r>
          </w:p>
        </w:tc>
        <w:tc>
          <w:tcPr>
            <w:tcW w:w="918" w:type="pct"/>
            <w:tcBorders>
              <w:top w:val="single" w:color="auto" w:sz="4" w:space="0"/>
              <w:left w:val="nil"/>
              <w:bottom w:val="nil"/>
              <w:right w:val="nil"/>
            </w:tcBorders>
          </w:tcPr>
          <w:p w14:paraId="51968D68">
            <w:pPr>
              <w:pStyle w:val="69"/>
              <w:spacing w:line="360" w:lineRule="auto"/>
              <w:rPr>
                <w:rFonts w:ascii="Times New Roman" w:hAnsi="Times New Roman"/>
                <w:color w:val="000000"/>
                <w:sz w:val="20"/>
                <w:szCs w:val="20"/>
              </w:rPr>
            </w:pPr>
            <w:r>
              <w:rPr>
                <w:rFonts w:ascii="Times New Roman" w:hAnsi="Times New Roman"/>
                <w:color w:val="000000"/>
                <w:sz w:val="20"/>
                <w:szCs w:val="20"/>
              </w:rPr>
              <w:t>0.0375416**</w:t>
            </w:r>
          </w:p>
        </w:tc>
      </w:tr>
      <w:tr w14:paraId="38C23F59">
        <w:tc>
          <w:tcPr>
            <w:tcW w:w="747" w:type="pct"/>
            <w:tcBorders>
              <w:top w:val="nil"/>
              <w:left w:val="nil"/>
              <w:bottom w:val="nil"/>
              <w:right w:val="nil"/>
            </w:tcBorders>
          </w:tcPr>
          <w:p w14:paraId="1731F710">
            <w:pPr>
              <w:pStyle w:val="69"/>
              <w:spacing w:line="360" w:lineRule="auto"/>
              <w:rPr>
                <w:rFonts w:ascii="Times New Roman" w:hAnsi="Times New Roman"/>
                <w:color w:val="000000"/>
                <w:sz w:val="20"/>
                <w:szCs w:val="20"/>
              </w:rPr>
            </w:pPr>
          </w:p>
        </w:tc>
        <w:tc>
          <w:tcPr>
            <w:tcW w:w="797" w:type="pct"/>
            <w:tcBorders>
              <w:top w:val="nil"/>
              <w:left w:val="nil"/>
              <w:bottom w:val="nil"/>
              <w:right w:val="nil"/>
            </w:tcBorders>
          </w:tcPr>
          <w:p w14:paraId="72DFE3CC">
            <w:pPr>
              <w:pStyle w:val="69"/>
              <w:spacing w:line="360" w:lineRule="auto"/>
              <w:rPr>
                <w:rFonts w:ascii="Times New Roman" w:hAnsi="Times New Roman"/>
                <w:color w:val="000000"/>
                <w:sz w:val="20"/>
                <w:szCs w:val="20"/>
              </w:rPr>
            </w:pPr>
            <w:r>
              <w:rPr>
                <w:rFonts w:ascii="Times New Roman" w:hAnsi="Times New Roman"/>
                <w:color w:val="000000"/>
                <w:sz w:val="20"/>
                <w:szCs w:val="20"/>
              </w:rPr>
              <w:t>(0.0034613)</w:t>
            </w:r>
          </w:p>
        </w:tc>
        <w:tc>
          <w:tcPr>
            <w:tcW w:w="730" w:type="pct"/>
            <w:tcBorders>
              <w:top w:val="nil"/>
              <w:left w:val="nil"/>
              <w:bottom w:val="nil"/>
              <w:right w:val="nil"/>
            </w:tcBorders>
          </w:tcPr>
          <w:p w14:paraId="1232F1CA">
            <w:pPr>
              <w:pStyle w:val="69"/>
              <w:spacing w:line="360" w:lineRule="auto"/>
              <w:rPr>
                <w:rFonts w:ascii="Times New Roman" w:hAnsi="Times New Roman"/>
                <w:color w:val="000000"/>
                <w:sz w:val="20"/>
                <w:szCs w:val="20"/>
              </w:rPr>
            </w:pPr>
            <w:r>
              <w:rPr>
                <w:rFonts w:ascii="Times New Roman" w:hAnsi="Times New Roman"/>
                <w:color w:val="000000"/>
                <w:sz w:val="20"/>
                <w:szCs w:val="20"/>
              </w:rPr>
              <w:t>(0.0013329)</w:t>
            </w:r>
          </w:p>
        </w:tc>
        <w:tc>
          <w:tcPr>
            <w:tcW w:w="889" w:type="pct"/>
            <w:tcBorders>
              <w:top w:val="nil"/>
              <w:left w:val="nil"/>
              <w:bottom w:val="nil"/>
              <w:right w:val="nil"/>
            </w:tcBorders>
          </w:tcPr>
          <w:p w14:paraId="47727C6B">
            <w:pPr>
              <w:pStyle w:val="69"/>
              <w:spacing w:line="360" w:lineRule="auto"/>
              <w:rPr>
                <w:rFonts w:ascii="Times New Roman" w:hAnsi="Times New Roman"/>
                <w:color w:val="000000"/>
                <w:sz w:val="20"/>
                <w:szCs w:val="20"/>
              </w:rPr>
            </w:pPr>
            <w:r>
              <w:rPr>
                <w:rFonts w:ascii="Times New Roman" w:hAnsi="Times New Roman"/>
                <w:color w:val="000000"/>
                <w:sz w:val="20"/>
                <w:szCs w:val="20"/>
              </w:rPr>
              <w:t>(0.0070084)</w:t>
            </w:r>
          </w:p>
        </w:tc>
        <w:tc>
          <w:tcPr>
            <w:tcW w:w="919" w:type="pct"/>
            <w:tcBorders>
              <w:top w:val="nil"/>
              <w:left w:val="nil"/>
              <w:bottom w:val="nil"/>
              <w:right w:val="nil"/>
            </w:tcBorders>
          </w:tcPr>
          <w:p w14:paraId="0E1BEAE4">
            <w:pPr>
              <w:pStyle w:val="69"/>
              <w:spacing w:line="360" w:lineRule="auto"/>
              <w:rPr>
                <w:rFonts w:ascii="Times New Roman" w:hAnsi="Times New Roman"/>
                <w:color w:val="000000"/>
                <w:sz w:val="20"/>
                <w:szCs w:val="20"/>
              </w:rPr>
            </w:pPr>
            <w:r>
              <w:rPr>
                <w:rFonts w:ascii="Times New Roman" w:hAnsi="Times New Roman"/>
                <w:color w:val="000000"/>
                <w:sz w:val="20"/>
                <w:szCs w:val="20"/>
              </w:rPr>
              <w:t>(0.0036701)</w:t>
            </w:r>
          </w:p>
        </w:tc>
        <w:tc>
          <w:tcPr>
            <w:tcW w:w="918" w:type="pct"/>
            <w:tcBorders>
              <w:top w:val="nil"/>
              <w:left w:val="nil"/>
              <w:bottom w:val="nil"/>
              <w:right w:val="nil"/>
            </w:tcBorders>
          </w:tcPr>
          <w:p w14:paraId="600EF462">
            <w:pPr>
              <w:pStyle w:val="69"/>
              <w:spacing w:line="360" w:lineRule="auto"/>
              <w:rPr>
                <w:rFonts w:ascii="Times New Roman" w:hAnsi="Times New Roman"/>
                <w:color w:val="000000"/>
                <w:sz w:val="20"/>
                <w:szCs w:val="20"/>
              </w:rPr>
            </w:pPr>
            <w:r>
              <w:rPr>
                <w:rFonts w:ascii="Times New Roman" w:hAnsi="Times New Roman"/>
                <w:color w:val="000000"/>
                <w:sz w:val="20"/>
                <w:szCs w:val="20"/>
              </w:rPr>
              <w:t>(0.0144774)</w:t>
            </w:r>
          </w:p>
        </w:tc>
      </w:tr>
      <w:tr w14:paraId="5306374C">
        <w:tc>
          <w:tcPr>
            <w:tcW w:w="747" w:type="pct"/>
            <w:tcBorders>
              <w:top w:val="nil"/>
              <w:left w:val="nil"/>
              <w:bottom w:val="nil"/>
              <w:right w:val="nil"/>
            </w:tcBorders>
          </w:tcPr>
          <w:p w14:paraId="0F051AD1">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797" w:type="pct"/>
            <w:tcBorders>
              <w:top w:val="nil"/>
              <w:left w:val="nil"/>
              <w:bottom w:val="nil"/>
              <w:right w:val="nil"/>
            </w:tcBorders>
          </w:tcPr>
          <w:p w14:paraId="51E28377">
            <w:pPr>
              <w:pStyle w:val="69"/>
              <w:spacing w:line="360" w:lineRule="auto"/>
              <w:rPr>
                <w:rFonts w:ascii="Times New Roman" w:hAnsi="Times New Roman"/>
                <w:color w:val="000000"/>
                <w:sz w:val="20"/>
                <w:szCs w:val="20"/>
              </w:rPr>
            </w:pPr>
            <w:r>
              <w:rPr>
                <w:rFonts w:ascii="Times New Roman" w:hAnsi="Times New Roman"/>
                <w:color w:val="000000"/>
                <w:sz w:val="20"/>
                <w:szCs w:val="20"/>
              </w:rPr>
              <w:t>-0.0273245</w:t>
            </w:r>
          </w:p>
        </w:tc>
        <w:tc>
          <w:tcPr>
            <w:tcW w:w="730" w:type="pct"/>
            <w:tcBorders>
              <w:top w:val="nil"/>
              <w:left w:val="nil"/>
              <w:bottom w:val="nil"/>
              <w:right w:val="nil"/>
            </w:tcBorders>
          </w:tcPr>
          <w:p w14:paraId="79DA4744">
            <w:pPr>
              <w:pStyle w:val="69"/>
              <w:spacing w:line="360" w:lineRule="auto"/>
              <w:rPr>
                <w:rFonts w:ascii="Times New Roman" w:hAnsi="Times New Roman"/>
                <w:color w:val="000000"/>
                <w:sz w:val="20"/>
                <w:szCs w:val="20"/>
              </w:rPr>
            </w:pPr>
            <w:r>
              <w:rPr>
                <w:rFonts w:ascii="Times New Roman" w:hAnsi="Times New Roman"/>
                <w:color w:val="000000"/>
                <w:sz w:val="20"/>
                <w:szCs w:val="20"/>
              </w:rPr>
              <w:t>0.0183146*</w:t>
            </w:r>
          </w:p>
        </w:tc>
        <w:tc>
          <w:tcPr>
            <w:tcW w:w="889" w:type="pct"/>
            <w:tcBorders>
              <w:top w:val="nil"/>
              <w:left w:val="nil"/>
              <w:bottom w:val="nil"/>
              <w:right w:val="nil"/>
            </w:tcBorders>
          </w:tcPr>
          <w:p w14:paraId="45ECF024">
            <w:pPr>
              <w:pStyle w:val="69"/>
              <w:spacing w:line="360" w:lineRule="auto"/>
              <w:rPr>
                <w:rFonts w:ascii="Times New Roman" w:hAnsi="Times New Roman"/>
                <w:color w:val="000000"/>
                <w:sz w:val="20"/>
                <w:szCs w:val="20"/>
              </w:rPr>
            </w:pPr>
            <w:r>
              <w:rPr>
                <w:rFonts w:ascii="Times New Roman" w:hAnsi="Times New Roman"/>
                <w:color w:val="000000"/>
                <w:sz w:val="20"/>
                <w:szCs w:val="20"/>
              </w:rPr>
              <w:t>-0.1122191</w:t>
            </w:r>
          </w:p>
        </w:tc>
        <w:tc>
          <w:tcPr>
            <w:tcW w:w="919" w:type="pct"/>
            <w:tcBorders>
              <w:top w:val="nil"/>
              <w:left w:val="nil"/>
              <w:bottom w:val="nil"/>
              <w:right w:val="nil"/>
            </w:tcBorders>
          </w:tcPr>
          <w:p w14:paraId="2DC57942">
            <w:pPr>
              <w:pStyle w:val="69"/>
              <w:spacing w:line="360" w:lineRule="auto"/>
              <w:rPr>
                <w:rFonts w:ascii="Times New Roman" w:hAnsi="Times New Roman"/>
                <w:color w:val="000000"/>
                <w:sz w:val="20"/>
                <w:szCs w:val="20"/>
              </w:rPr>
            </w:pPr>
            <w:r>
              <w:rPr>
                <w:rFonts w:ascii="Times New Roman" w:hAnsi="Times New Roman"/>
                <w:color w:val="000000"/>
                <w:sz w:val="20"/>
                <w:szCs w:val="20"/>
              </w:rPr>
              <w:t>0.0153378*</w:t>
            </w:r>
          </w:p>
        </w:tc>
        <w:tc>
          <w:tcPr>
            <w:tcW w:w="918" w:type="pct"/>
            <w:tcBorders>
              <w:top w:val="nil"/>
              <w:left w:val="nil"/>
              <w:bottom w:val="nil"/>
              <w:right w:val="nil"/>
            </w:tcBorders>
          </w:tcPr>
          <w:p w14:paraId="0BC9AD33">
            <w:pPr>
              <w:pStyle w:val="69"/>
              <w:spacing w:line="360" w:lineRule="auto"/>
              <w:rPr>
                <w:rFonts w:ascii="Times New Roman" w:hAnsi="Times New Roman"/>
                <w:color w:val="000000"/>
                <w:sz w:val="20"/>
                <w:szCs w:val="20"/>
              </w:rPr>
            </w:pPr>
            <w:r>
              <w:rPr>
                <w:rFonts w:ascii="Times New Roman" w:hAnsi="Times New Roman"/>
                <w:color w:val="000000"/>
                <w:sz w:val="20"/>
                <w:szCs w:val="20"/>
              </w:rPr>
              <w:t>-0.0338316</w:t>
            </w:r>
          </w:p>
        </w:tc>
      </w:tr>
      <w:tr w14:paraId="5D363F07">
        <w:tc>
          <w:tcPr>
            <w:tcW w:w="747" w:type="pct"/>
            <w:tcBorders>
              <w:top w:val="nil"/>
              <w:left w:val="nil"/>
              <w:bottom w:val="nil"/>
              <w:right w:val="nil"/>
            </w:tcBorders>
          </w:tcPr>
          <w:p w14:paraId="30843A2C">
            <w:pPr>
              <w:pStyle w:val="69"/>
              <w:spacing w:line="360" w:lineRule="auto"/>
              <w:rPr>
                <w:rFonts w:ascii="Times New Roman" w:hAnsi="Times New Roman"/>
                <w:color w:val="000000"/>
                <w:sz w:val="20"/>
                <w:szCs w:val="20"/>
              </w:rPr>
            </w:pPr>
          </w:p>
        </w:tc>
        <w:tc>
          <w:tcPr>
            <w:tcW w:w="797" w:type="pct"/>
            <w:tcBorders>
              <w:top w:val="nil"/>
              <w:left w:val="nil"/>
              <w:bottom w:val="nil"/>
              <w:right w:val="nil"/>
            </w:tcBorders>
          </w:tcPr>
          <w:p w14:paraId="5BB88279">
            <w:pPr>
              <w:pStyle w:val="69"/>
              <w:spacing w:line="360" w:lineRule="auto"/>
              <w:rPr>
                <w:rFonts w:ascii="Times New Roman" w:hAnsi="Times New Roman"/>
                <w:color w:val="000000"/>
                <w:sz w:val="20"/>
                <w:szCs w:val="20"/>
              </w:rPr>
            </w:pPr>
            <w:r>
              <w:rPr>
                <w:rFonts w:ascii="Times New Roman" w:hAnsi="Times New Roman"/>
                <w:color w:val="000000"/>
                <w:sz w:val="20"/>
                <w:szCs w:val="20"/>
              </w:rPr>
              <w:t>(0.0320739)</w:t>
            </w:r>
          </w:p>
        </w:tc>
        <w:tc>
          <w:tcPr>
            <w:tcW w:w="730" w:type="pct"/>
            <w:tcBorders>
              <w:top w:val="nil"/>
              <w:left w:val="nil"/>
              <w:bottom w:val="nil"/>
              <w:right w:val="nil"/>
            </w:tcBorders>
          </w:tcPr>
          <w:p w14:paraId="507249A7">
            <w:pPr>
              <w:pStyle w:val="69"/>
              <w:spacing w:line="360" w:lineRule="auto"/>
              <w:rPr>
                <w:rFonts w:ascii="Times New Roman" w:hAnsi="Times New Roman"/>
                <w:color w:val="000000"/>
                <w:sz w:val="20"/>
                <w:szCs w:val="20"/>
              </w:rPr>
            </w:pPr>
            <w:r>
              <w:rPr>
                <w:rFonts w:ascii="Times New Roman" w:hAnsi="Times New Roman"/>
                <w:color w:val="000000"/>
                <w:sz w:val="20"/>
                <w:szCs w:val="20"/>
              </w:rPr>
              <w:t>(0.0092295)</w:t>
            </w:r>
          </w:p>
        </w:tc>
        <w:tc>
          <w:tcPr>
            <w:tcW w:w="889" w:type="pct"/>
            <w:tcBorders>
              <w:top w:val="nil"/>
              <w:left w:val="nil"/>
              <w:bottom w:val="nil"/>
              <w:right w:val="nil"/>
            </w:tcBorders>
          </w:tcPr>
          <w:p w14:paraId="4B806282">
            <w:pPr>
              <w:pStyle w:val="69"/>
              <w:spacing w:line="360" w:lineRule="auto"/>
              <w:rPr>
                <w:rFonts w:ascii="Times New Roman" w:hAnsi="Times New Roman"/>
                <w:color w:val="000000"/>
                <w:sz w:val="20"/>
                <w:szCs w:val="20"/>
              </w:rPr>
            </w:pPr>
            <w:r>
              <w:rPr>
                <w:rFonts w:ascii="Times New Roman" w:hAnsi="Times New Roman"/>
                <w:color w:val="000000"/>
                <w:sz w:val="20"/>
                <w:szCs w:val="20"/>
              </w:rPr>
              <w:t>(0.0686754)</w:t>
            </w:r>
          </w:p>
        </w:tc>
        <w:tc>
          <w:tcPr>
            <w:tcW w:w="919" w:type="pct"/>
            <w:tcBorders>
              <w:top w:val="nil"/>
              <w:left w:val="nil"/>
              <w:bottom w:val="nil"/>
              <w:right w:val="nil"/>
            </w:tcBorders>
          </w:tcPr>
          <w:p w14:paraId="17500313">
            <w:pPr>
              <w:pStyle w:val="69"/>
              <w:spacing w:line="360" w:lineRule="auto"/>
              <w:rPr>
                <w:rFonts w:ascii="Times New Roman" w:hAnsi="Times New Roman"/>
                <w:color w:val="000000"/>
                <w:sz w:val="20"/>
                <w:szCs w:val="20"/>
              </w:rPr>
            </w:pPr>
            <w:r>
              <w:rPr>
                <w:rFonts w:ascii="Times New Roman" w:hAnsi="Times New Roman"/>
                <w:color w:val="000000"/>
                <w:sz w:val="20"/>
                <w:szCs w:val="20"/>
              </w:rPr>
              <w:t>(0.0084151)</w:t>
            </w:r>
          </w:p>
        </w:tc>
        <w:tc>
          <w:tcPr>
            <w:tcW w:w="918" w:type="pct"/>
            <w:tcBorders>
              <w:top w:val="nil"/>
              <w:left w:val="nil"/>
              <w:bottom w:val="nil"/>
              <w:right w:val="nil"/>
            </w:tcBorders>
          </w:tcPr>
          <w:p w14:paraId="7392AE51">
            <w:pPr>
              <w:pStyle w:val="69"/>
              <w:spacing w:line="360" w:lineRule="auto"/>
              <w:rPr>
                <w:rFonts w:ascii="Times New Roman" w:hAnsi="Times New Roman"/>
                <w:color w:val="000000"/>
                <w:sz w:val="20"/>
                <w:szCs w:val="20"/>
              </w:rPr>
            </w:pPr>
            <w:r>
              <w:rPr>
                <w:rFonts w:ascii="Times New Roman" w:hAnsi="Times New Roman"/>
                <w:color w:val="000000"/>
                <w:sz w:val="20"/>
                <w:szCs w:val="20"/>
              </w:rPr>
              <w:t>(0.0272146)</w:t>
            </w:r>
          </w:p>
        </w:tc>
      </w:tr>
      <w:tr w14:paraId="47D16AE9">
        <w:trPr>
          <w:trHeight w:val="90" w:hRule="atLeast"/>
        </w:trPr>
        <w:tc>
          <w:tcPr>
            <w:tcW w:w="747" w:type="pct"/>
            <w:tcBorders>
              <w:top w:val="nil"/>
              <w:left w:val="nil"/>
              <w:bottom w:val="nil"/>
              <w:right w:val="nil"/>
            </w:tcBorders>
          </w:tcPr>
          <w:p w14:paraId="051CD513">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797" w:type="pct"/>
            <w:tcBorders>
              <w:top w:val="nil"/>
              <w:left w:val="nil"/>
              <w:bottom w:val="nil"/>
              <w:right w:val="nil"/>
            </w:tcBorders>
          </w:tcPr>
          <w:p w14:paraId="3E26F219">
            <w:pPr>
              <w:pStyle w:val="69"/>
              <w:spacing w:line="360" w:lineRule="auto"/>
              <w:rPr>
                <w:rFonts w:ascii="Times New Roman" w:hAnsi="Times New Roman"/>
                <w:color w:val="000000"/>
                <w:sz w:val="20"/>
                <w:szCs w:val="20"/>
              </w:rPr>
            </w:pPr>
            <w:r>
              <w:rPr>
                <w:rFonts w:ascii="Times New Roman" w:hAnsi="Times New Roman"/>
                <w:color w:val="000000"/>
                <w:sz w:val="20"/>
                <w:szCs w:val="20"/>
              </w:rPr>
              <w:t>-1.016096</w:t>
            </w:r>
          </w:p>
        </w:tc>
        <w:tc>
          <w:tcPr>
            <w:tcW w:w="730" w:type="pct"/>
            <w:tcBorders>
              <w:top w:val="nil"/>
              <w:left w:val="nil"/>
              <w:bottom w:val="nil"/>
              <w:right w:val="nil"/>
            </w:tcBorders>
          </w:tcPr>
          <w:p w14:paraId="77228BC2">
            <w:pPr>
              <w:pStyle w:val="69"/>
              <w:spacing w:line="360" w:lineRule="auto"/>
              <w:rPr>
                <w:rFonts w:ascii="Times New Roman" w:hAnsi="Times New Roman"/>
                <w:color w:val="000000"/>
                <w:sz w:val="20"/>
                <w:szCs w:val="20"/>
              </w:rPr>
            </w:pPr>
            <w:r>
              <w:rPr>
                <w:rFonts w:ascii="Times New Roman" w:hAnsi="Times New Roman"/>
                <w:color w:val="000000"/>
                <w:sz w:val="20"/>
                <w:szCs w:val="20"/>
              </w:rPr>
              <w:t>0.178215</w:t>
            </w:r>
          </w:p>
        </w:tc>
        <w:tc>
          <w:tcPr>
            <w:tcW w:w="889" w:type="pct"/>
            <w:tcBorders>
              <w:top w:val="nil"/>
              <w:left w:val="nil"/>
              <w:bottom w:val="nil"/>
              <w:right w:val="nil"/>
            </w:tcBorders>
          </w:tcPr>
          <w:p w14:paraId="03589A26">
            <w:pPr>
              <w:pStyle w:val="69"/>
              <w:spacing w:line="360" w:lineRule="auto"/>
              <w:rPr>
                <w:rFonts w:ascii="Times New Roman" w:hAnsi="Times New Roman"/>
                <w:color w:val="000000"/>
                <w:sz w:val="20"/>
                <w:szCs w:val="20"/>
              </w:rPr>
            </w:pPr>
            <w:r>
              <w:rPr>
                <w:rFonts w:ascii="Times New Roman" w:hAnsi="Times New Roman"/>
                <w:color w:val="000000"/>
                <w:sz w:val="20"/>
                <w:szCs w:val="20"/>
              </w:rPr>
              <w:t>-0.8084687</w:t>
            </w:r>
          </w:p>
        </w:tc>
        <w:tc>
          <w:tcPr>
            <w:tcW w:w="919" w:type="pct"/>
            <w:tcBorders>
              <w:top w:val="nil"/>
              <w:left w:val="nil"/>
              <w:bottom w:val="nil"/>
              <w:right w:val="nil"/>
            </w:tcBorders>
          </w:tcPr>
          <w:p w14:paraId="791E6344">
            <w:pPr>
              <w:pStyle w:val="69"/>
              <w:spacing w:line="360" w:lineRule="auto"/>
              <w:rPr>
                <w:rFonts w:ascii="Times New Roman" w:hAnsi="Times New Roman"/>
                <w:color w:val="000000"/>
                <w:sz w:val="20"/>
                <w:szCs w:val="20"/>
              </w:rPr>
            </w:pPr>
            <w:r>
              <w:rPr>
                <w:rFonts w:ascii="Times New Roman" w:hAnsi="Times New Roman"/>
                <w:color w:val="000000"/>
                <w:sz w:val="20"/>
                <w:szCs w:val="20"/>
              </w:rPr>
              <w:t>0.4232961</w:t>
            </w:r>
          </w:p>
        </w:tc>
        <w:tc>
          <w:tcPr>
            <w:tcW w:w="918" w:type="pct"/>
            <w:tcBorders>
              <w:top w:val="nil"/>
              <w:left w:val="nil"/>
              <w:bottom w:val="nil"/>
              <w:right w:val="nil"/>
            </w:tcBorders>
          </w:tcPr>
          <w:p w14:paraId="1DD32223">
            <w:pPr>
              <w:pStyle w:val="69"/>
              <w:spacing w:line="360" w:lineRule="auto"/>
              <w:rPr>
                <w:rFonts w:ascii="Times New Roman" w:hAnsi="Times New Roman"/>
                <w:color w:val="000000"/>
                <w:sz w:val="20"/>
                <w:szCs w:val="20"/>
              </w:rPr>
            </w:pPr>
            <w:r>
              <w:rPr>
                <w:rFonts w:ascii="Times New Roman" w:hAnsi="Times New Roman"/>
                <w:color w:val="000000"/>
                <w:sz w:val="20"/>
                <w:szCs w:val="20"/>
              </w:rPr>
              <w:t>0.8371796</w:t>
            </w:r>
          </w:p>
        </w:tc>
      </w:tr>
      <w:tr w14:paraId="7D397EE5">
        <w:tc>
          <w:tcPr>
            <w:tcW w:w="747" w:type="pct"/>
            <w:tcBorders>
              <w:top w:val="nil"/>
              <w:left w:val="nil"/>
              <w:bottom w:val="nil"/>
              <w:right w:val="nil"/>
            </w:tcBorders>
          </w:tcPr>
          <w:p w14:paraId="47FF5073">
            <w:pPr>
              <w:pStyle w:val="69"/>
              <w:spacing w:line="360" w:lineRule="auto"/>
              <w:rPr>
                <w:rFonts w:ascii="Times New Roman" w:hAnsi="Times New Roman"/>
                <w:color w:val="000000"/>
                <w:sz w:val="20"/>
                <w:szCs w:val="20"/>
              </w:rPr>
            </w:pPr>
          </w:p>
        </w:tc>
        <w:tc>
          <w:tcPr>
            <w:tcW w:w="797" w:type="pct"/>
            <w:tcBorders>
              <w:top w:val="nil"/>
              <w:left w:val="nil"/>
              <w:bottom w:val="nil"/>
              <w:right w:val="nil"/>
            </w:tcBorders>
          </w:tcPr>
          <w:p w14:paraId="28BE2385">
            <w:pPr>
              <w:pStyle w:val="69"/>
              <w:spacing w:line="360" w:lineRule="auto"/>
              <w:rPr>
                <w:rFonts w:ascii="Times New Roman" w:hAnsi="Times New Roman"/>
                <w:color w:val="000000"/>
                <w:sz w:val="20"/>
                <w:szCs w:val="20"/>
              </w:rPr>
            </w:pPr>
            <w:r>
              <w:rPr>
                <w:rFonts w:ascii="Times New Roman" w:hAnsi="Times New Roman"/>
                <w:color w:val="000000"/>
                <w:sz w:val="20"/>
                <w:szCs w:val="20"/>
              </w:rPr>
              <w:t>(0.9037545)</w:t>
            </w:r>
          </w:p>
        </w:tc>
        <w:tc>
          <w:tcPr>
            <w:tcW w:w="730" w:type="pct"/>
            <w:tcBorders>
              <w:top w:val="nil"/>
              <w:left w:val="nil"/>
              <w:bottom w:val="nil"/>
              <w:right w:val="nil"/>
            </w:tcBorders>
          </w:tcPr>
          <w:p w14:paraId="216573B2">
            <w:pPr>
              <w:pStyle w:val="69"/>
              <w:spacing w:line="360" w:lineRule="auto"/>
              <w:rPr>
                <w:rFonts w:ascii="Times New Roman" w:hAnsi="Times New Roman"/>
                <w:color w:val="000000"/>
                <w:sz w:val="20"/>
                <w:szCs w:val="20"/>
              </w:rPr>
            </w:pPr>
            <w:r>
              <w:rPr>
                <w:rFonts w:ascii="Times New Roman" w:hAnsi="Times New Roman"/>
                <w:color w:val="000000"/>
                <w:sz w:val="20"/>
                <w:szCs w:val="20"/>
              </w:rPr>
              <w:t>(0.2241883)</w:t>
            </w:r>
          </w:p>
        </w:tc>
        <w:tc>
          <w:tcPr>
            <w:tcW w:w="889" w:type="pct"/>
            <w:tcBorders>
              <w:top w:val="nil"/>
              <w:left w:val="nil"/>
              <w:bottom w:val="nil"/>
              <w:right w:val="nil"/>
            </w:tcBorders>
          </w:tcPr>
          <w:p w14:paraId="4C1426FD">
            <w:pPr>
              <w:pStyle w:val="69"/>
              <w:spacing w:line="360" w:lineRule="auto"/>
              <w:rPr>
                <w:rFonts w:ascii="Times New Roman" w:hAnsi="Times New Roman"/>
                <w:color w:val="000000"/>
                <w:sz w:val="20"/>
                <w:szCs w:val="20"/>
              </w:rPr>
            </w:pPr>
            <w:r>
              <w:rPr>
                <w:rFonts w:ascii="Times New Roman" w:hAnsi="Times New Roman"/>
                <w:color w:val="000000"/>
                <w:sz w:val="20"/>
                <w:szCs w:val="20"/>
              </w:rPr>
              <w:t>(1.217658)</w:t>
            </w:r>
          </w:p>
        </w:tc>
        <w:tc>
          <w:tcPr>
            <w:tcW w:w="919" w:type="pct"/>
            <w:tcBorders>
              <w:top w:val="nil"/>
              <w:left w:val="nil"/>
              <w:bottom w:val="nil"/>
              <w:right w:val="nil"/>
            </w:tcBorders>
          </w:tcPr>
          <w:p w14:paraId="3C28A202">
            <w:pPr>
              <w:pStyle w:val="69"/>
              <w:spacing w:line="360" w:lineRule="auto"/>
              <w:rPr>
                <w:rFonts w:ascii="Times New Roman" w:hAnsi="Times New Roman"/>
                <w:color w:val="000000"/>
                <w:sz w:val="20"/>
                <w:szCs w:val="20"/>
              </w:rPr>
            </w:pPr>
            <w:r>
              <w:rPr>
                <w:rFonts w:ascii="Times New Roman" w:hAnsi="Times New Roman"/>
                <w:color w:val="000000"/>
                <w:sz w:val="20"/>
                <w:szCs w:val="20"/>
              </w:rPr>
              <w:t>(0.5021889)</w:t>
            </w:r>
          </w:p>
        </w:tc>
        <w:tc>
          <w:tcPr>
            <w:tcW w:w="918" w:type="pct"/>
            <w:tcBorders>
              <w:top w:val="nil"/>
              <w:left w:val="nil"/>
              <w:bottom w:val="nil"/>
              <w:right w:val="nil"/>
            </w:tcBorders>
          </w:tcPr>
          <w:p w14:paraId="7DDC085B">
            <w:pPr>
              <w:pStyle w:val="69"/>
              <w:spacing w:line="360" w:lineRule="auto"/>
              <w:rPr>
                <w:rFonts w:ascii="Times New Roman" w:hAnsi="Times New Roman"/>
                <w:color w:val="000000"/>
                <w:sz w:val="20"/>
                <w:szCs w:val="20"/>
              </w:rPr>
            </w:pPr>
            <w:r>
              <w:rPr>
                <w:rFonts w:ascii="Times New Roman" w:hAnsi="Times New Roman"/>
                <w:color w:val="000000"/>
                <w:sz w:val="20"/>
                <w:szCs w:val="20"/>
              </w:rPr>
              <w:t>(1.112414)</w:t>
            </w:r>
          </w:p>
        </w:tc>
      </w:tr>
      <w:tr w14:paraId="256E1580">
        <w:tc>
          <w:tcPr>
            <w:tcW w:w="747" w:type="pct"/>
            <w:tcBorders>
              <w:top w:val="nil"/>
              <w:left w:val="nil"/>
              <w:bottom w:val="nil"/>
              <w:right w:val="nil"/>
            </w:tcBorders>
          </w:tcPr>
          <w:p w14:paraId="21C6105A">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797" w:type="pct"/>
            <w:tcBorders>
              <w:top w:val="nil"/>
              <w:left w:val="nil"/>
              <w:bottom w:val="nil"/>
              <w:right w:val="nil"/>
            </w:tcBorders>
          </w:tcPr>
          <w:p w14:paraId="466E1B98">
            <w:pPr>
              <w:pStyle w:val="69"/>
              <w:spacing w:line="360" w:lineRule="auto"/>
              <w:rPr>
                <w:rFonts w:ascii="Times New Roman" w:hAnsi="Times New Roman"/>
                <w:color w:val="000000"/>
                <w:sz w:val="20"/>
                <w:szCs w:val="20"/>
              </w:rPr>
            </w:pPr>
            <w:r>
              <w:rPr>
                <w:rFonts w:ascii="Times New Roman" w:hAnsi="Times New Roman"/>
                <w:color w:val="000000"/>
                <w:sz w:val="20"/>
                <w:szCs w:val="20"/>
              </w:rPr>
              <w:t>4.016418</w:t>
            </w:r>
          </w:p>
        </w:tc>
        <w:tc>
          <w:tcPr>
            <w:tcW w:w="730" w:type="pct"/>
            <w:tcBorders>
              <w:top w:val="nil"/>
              <w:left w:val="nil"/>
              <w:bottom w:val="nil"/>
              <w:right w:val="nil"/>
            </w:tcBorders>
          </w:tcPr>
          <w:p w14:paraId="09257A54">
            <w:pPr>
              <w:pStyle w:val="69"/>
              <w:spacing w:line="360" w:lineRule="auto"/>
              <w:rPr>
                <w:rFonts w:ascii="Times New Roman" w:hAnsi="Times New Roman"/>
                <w:color w:val="000000"/>
                <w:sz w:val="20"/>
                <w:szCs w:val="20"/>
              </w:rPr>
            </w:pPr>
            <w:r>
              <w:rPr>
                <w:rFonts w:ascii="Times New Roman" w:hAnsi="Times New Roman"/>
                <w:color w:val="000000"/>
                <w:sz w:val="20"/>
                <w:szCs w:val="20"/>
              </w:rPr>
              <w:t>2.287348</w:t>
            </w:r>
          </w:p>
        </w:tc>
        <w:tc>
          <w:tcPr>
            <w:tcW w:w="889" w:type="pct"/>
            <w:tcBorders>
              <w:top w:val="nil"/>
              <w:left w:val="nil"/>
              <w:bottom w:val="nil"/>
              <w:right w:val="nil"/>
            </w:tcBorders>
          </w:tcPr>
          <w:p w14:paraId="7DD28F66">
            <w:pPr>
              <w:pStyle w:val="69"/>
              <w:spacing w:line="360" w:lineRule="auto"/>
              <w:rPr>
                <w:rFonts w:ascii="Times New Roman" w:hAnsi="Times New Roman"/>
                <w:color w:val="000000"/>
                <w:sz w:val="20"/>
                <w:szCs w:val="20"/>
              </w:rPr>
            </w:pPr>
            <w:r>
              <w:rPr>
                <w:rFonts w:ascii="Times New Roman" w:hAnsi="Times New Roman"/>
                <w:color w:val="000000"/>
                <w:sz w:val="20"/>
                <w:szCs w:val="20"/>
              </w:rPr>
              <w:t>-4.971965</w:t>
            </w:r>
          </w:p>
        </w:tc>
        <w:tc>
          <w:tcPr>
            <w:tcW w:w="919" w:type="pct"/>
            <w:tcBorders>
              <w:top w:val="nil"/>
              <w:left w:val="nil"/>
              <w:bottom w:val="nil"/>
              <w:right w:val="nil"/>
            </w:tcBorders>
          </w:tcPr>
          <w:p w14:paraId="11D446AD">
            <w:pPr>
              <w:pStyle w:val="69"/>
              <w:spacing w:line="360" w:lineRule="auto"/>
              <w:rPr>
                <w:rFonts w:ascii="Times New Roman" w:hAnsi="Times New Roman"/>
                <w:color w:val="000000"/>
                <w:sz w:val="20"/>
                <w:szCs w:val="20"/>
              </w:rPr>
            </w:pPr>
            <w:r>
              <w:rPr>
                <w:rFonts w:ascii="Times New Roman" w:hAnsi="Times New Roman"/>
                <w:color w:val="000000"/>
                <w:sz w:val="20"/>
                <w:szCs w:val="20"/>
              </w:rPr>
              <w:t>0.5728474</w:t>
            </w:r>
          </w:p>
        </w:tc>
        <w:tc>
          <w:tcPr>
            <w:tcW w:w="918" w:type="pct"/>
            <w:tcBorders>
              <w:top w:val="nil"/>
              <w:left w:val="nil"/>
              <w:bottom w:val="nil"/>
              <w:right w:val="nil"/>
            </w:tcBorders>
          </w:tcPr>
          <w:p w14:paraId="17A80FAD">
            <w:pPr>
              <w:pStyle w:val="69"/>
              <w:spacing w:line="360" w:lineRule="auto"/>
              <w:rPr>
                <w:rFonts w:ascii="Times New Roman" w:hAnsi="Times New Roman"/>
                <w:color w:val="000000"/>
                <w:sz w:val="20"/>
                <w:szCs w:val="20"/>
              </w:rPr>
            </w:pPr>
            <w:r>
              <w:rPr>
                <w:rFonts w:ascii="Times New Roman" w:hAnsi="Times New Roman"/>
                <w:color w:val="000000"/>
                <w:sz w:val="20"/>
                <w:szCs w:val="20"/>
              </w:rPr>
              <w:t>0.9471454</w:t>
            </w:r>
          </w:p>
        </w:tc>
      </w:tr>
      <w:tr w14:paraId="5934F6FC">
        <w:trPr>
          <w:trHeight w:val="411" w:hRule="atLeast"/>
        </w:trPr>
        <w:tc>
          <w:tcPr>
            <w:tcW w:w="747" w:type="pct"/>
            <w:tcBorders>
              <w:top w:val="nil"/>
              <w:left w:val="nil"/>
              <w:bottom w:val="single" w:color="auto" w:sz="4" w:space="0"/>
              <w:right w:val="nil"/>
            </w:tcBorders>
          </w:tcPr>
          <w:p w14:paraId="0B3B8514">
            <w:pPr>
              <w:pStyle w:val="69"/>
              <w:spacing w:line="360" w:lineRule="auto"/>
              <w:rPr>
                <w:rFonts w:ascii="Times New Roman" w:hAnsi="Times New Roman"/>
                <w:color w:val="000000"/>
                <w:sz w:val="20"/>
                <w:szCs w:val="20"/>
              </w:rPr>
            </w:pPr>
          </w:p>
        </w:tc>
        <w:tc>
          <w:tcPr>
            <w:tcW w:w="797" w:type="pct"/>
            <w:tcBorders>
              <w:top w:val="nil"/>
              <w:left w:val="nil"/>
              <w:bottom w:val="single" w:color="auto" w:sz="4" w:space="0"/>
              <w:right w:val="nil"/>
            </w:tcBorders>
          </w:tcPr>
          <w:p w14:paraId="056CFEE0">
            <w:pPr>
              <w:pStyle w:val="69"/>
              <w:spacing w:line="360" w:lineRule="auto"/>
              <w:rPr>
                <w:rFonts w:ascii="Times New Roman" w:hAnsi="Times New Roman"/>
                <w:color w:val="000000"/>
                <w:sz w:val="20"/>
                <w:szCs w:val="20"/>
              </w:rPr>
            </w:pPr>
            <w:r>
              <w:rPr>
                <w:rFonts w:ascii="Times New Roman" w:hAnsi="Times New Roman"/>
                <w:color w:val="000000"/>
                <w:sz w:val="20"/>
                <w:szCs w:val="20"/>
              </w:rPr>
              <w:t>(3.963138)</w:t>
            </w:r>
          </w:p>
        </w:tc>
        <w:tc>
          <w:tcPr>
            <w:tcW w:w="730" w:type="pct"/>
            <w:tcBorders>
              <w:top w:val="nil"/>
              <w:left w:val="nil"/>
              <w:bottom w:val="single" w:color="auto" w:sz="4" w:space="0"/>
              <w:right w:val="nil"/>
            </w:tcBorders>
          </w:tcPr>
          <w:p w14:paraId="417A8A1A">
            <w:pPr>
              <w:pStyle w:val="69"/>
              <w:spacing w:line="360" w:lineRule="auto"/>
              <w:rPr>
                <w:rFonts w:ascii="Times New Roman" w:hAnsi="Times New Roman"/>
                <w:color w:val="000000"/>
                <w:sz w:val="20"/>
                <w:szCs w:val="20"/>
              </w:rPr>
            </w:pPr>
            <w:r>
              <w:rPr>
                <w:rFonts w:ascii="Times New Roman" w:hAnsi="Times New Roman"/>
                <w:color w:val="000000"/>
                <w:sz w:val="20"/>
                <w:szCs w:val="20"/>
              </w:rPr>
              <w:t>(1.551092)</w:t>
            </w:r>
          </w:p>
        </w:tc>
        <w:tc>
          <w:tcPr>
            <w:tcW w:w="889" w:type="pct"/>
            <w:tcBorders>
              <w:top w:val="nil"/>
              <w:left w:val="nil"/>
              <w:bottom w:val="single" w:color="auto" w:sz="4" w:space="0"/>
              <w:right w:val="nil"/>
            </w:tcBorders>
          </w:tcPr>
          <w:p w14:paraId="1510E02A">
            <w:pPr>
              <w:pStyle w:val="69"/>
              <w:spacing w:line="360" w:lineRule="auto"/>
              <w:rPr>
                <w:rFonts w:ascii="Times New Roman" w:hAnsi="Times New Roman"/>
                <w:color w:val="000000"/>
                <w:sz w:val="20"/>
                <w:szCs w:val="20"/>
              </w:rPr>
            </w:pPr>
            <w:r>
              <w:rPr>
                <w:rFonts w:ascii="Times New Roman" w:hAnsi="Times New Roman"/>
                <w:color w:val="000000"/>
                <w:sz w:val="20"/>
                <w:szCs w:val="20"/>
              </w:rPr>
              <w:t>(9.303324)</w:t>
            </w:r>
          </w:p>
        </w:tc>
        <w:tc>
          <w:tcPr>
            <w:tcW w:w="919" w:type="pct"/>
            <w:tcBorders>
              <w:top w:val="nil"/>
              <w:left w:val="nil"/>
              <w:bottom w:val="single" w:color="auto" w:sz="4" w:space="0"/>
              <w:right w:val="nil"/>
            </w:tcBorders>
          </w:tcPr>
          <w:p w14:paraId="43746122">
            <w:pPr>
              <w:pStyle w:val="69"/>
              <w:spacing w:line="360" w:lineRule="auto"/>
              <w:rPr>
                <w:rFonts w:ascii="Times New Roman" w:hAnsi="Times New Roman"/>
                <w:color w:val="000000"/>
                <w:sz w:val="20"/>
                <w:szCs w:val="20"/>
              </w:rPr>
            </w:pPr>
            <w:r>
              <w:rPr>
                <w:rFonts w:ascii="Times New Roman" w:hAnsi="Times New Roman"/>
                <w:color w:val="000000"/>
                <w:sz w:val="20"/>
                <w:szCs w:val="20"/>
              </w:rPr>
              <w:t>(2.472747)</w:t>
            </w:r>
          </w:p>
        </w:tc>
        <w:tc>
          <w:tcPr>
            <w:tcW w:w="918" w:type="pct"/>
            <w:tcBorders>
              <w:top w:val="nil"/>
              <w:left w:val="nil"/>
              <w:bottom w:val="single" w:color="auto" w:sz="4" w:space="0"/>
              <w:right w:val="nil"/>
            </w:tcBorders>
          </w:tcPr>
          <w:p w14:paraId="62BF1FD4">
            <w:pPr>
              <w:pStyle w:val="69"/>
              <w:spacing w:line="360" w:lineRule="auto"/>
              <w:rPr>
                <w:rFonts w:ascii="Times New Roman" w:hAnsi="Times New Roman"/>
                <w:color w:val="000000"/>
                <w:sz w:val="20"/>
                <w:szCs w:val="20"/>
              </w:rPr>
            </w:pPr>
            <w:r>
              <w:rPr>
                <w:rFonts w:ascii="Times New Roman" w:hAnsi="Times New Roman"/>
                <w:color w:val="000000"/>
                <w:sz w:val="20"/>
                <w:szCs w:val="20"/>
              </w:rPr>
              <w:t>(3.443434)</w:t>
            </w:r>
          </w:p>
        </w:tc>
      </w:tr>
      <w:tr w14:paraId="1B042F94">
        <w:trPr>
          <w:trHeight w:val="411" w:hRule="atLeast"/>
        </w:trPr>
        <w:tc>
          <w:tcPr>
            <w:tcW w:w="747" w:type="pct"/>
            <w:tcBorders>
              <w:top w:val="single" w:color="auto" w:sz="4" w:space="0"/>
              <w:left w:val="nil"/>
              <w:bottom w:val="nil"/>
              <w:right w:val="nil"/>
            </w:tcBorders>
          </w:tcPr>
          <w:p w14:paraId="5FF3FBC2">
            <w:pPr>
              <w:pStyle w:val="69"/>
              <w:spacing w:line="360" w:lineRule="auto"/>
              <w:rPr>
                <w:rFonts w:ascii="Times New Roman" w:hAnsi="Times New Roman"/>
                <w:color w:val="000000"/>
                <w:sz w:val="20"/>
                <w:szCs w:val="20"/>
              </w:rPr>
            </w:pPr>
            <m:oMathPara>
              <m:oMathParaPr>
                <m:jc m:val="left"/>
              </m:oMathParaPr>
              <m:oMath>
                <m:sSup>
                  <m:sSupPr>
                    <m:ctrlPr>
                      <w:rPr>
                        <w:rFonts w:ascii="Cambria Math" w:hAnsi="Cambria Math"/>
                        <w:i/>
                        <w:color w:val="000000"/>
                        <w:sz w:val="20"/>
                        <w:szCs w:val="20"/>
                      </w:rPr>
                    </m:ctrlPr>
                  </m:sSupPr>
                  <m:e>
                    <m:r>
                      <m:rPr/>
                      <w:rPr>
                        <w:rFonts w:ascii="Cambria Math" w:hAnsi="Cambria Math"/>
                        <w:color w:val="000000"/>
                        <w:sz w:val="20"/>
                        <w:szCs w:val="20"/>
                      </w:rPr>
                      <m:t>R</m:t>
                    </m:r>
                    <m:ctrlPr>
                      <w:rPr>
                        <w:rFonts w:ascii="Cambria Math" w:hAnsi="Cambria Math"/>
                        <w:i/>
                        <w:color w:val="000000"/>
                        <w:sz w:val="20"/>
                        <w:szCs w:val="20"/>
                      </w:rPr>
                    </m:ctrlPr>
                  </m:e>
                  <m:sup>
                    <m:r>
                      <m:rPr/>
                      <w:rPr>
                        <w:rFonts w:ascii="Cambria Math" w:hAnsi="Cambria Math"/>
                        <w:color w:val="000000"/>
                        <w:sz w:val="20"/>
                        <w:szCs w:val="20"/>
                      </w:rPr>
                      <m:t>2</m:t>
                    </m:r>
                    <m:ctrlPr>
                      <w:rPr>
                        <w:rFonts w:ascii="Cambria Math" w:hAnsi="Cambria Math"/>
                        <w:i/>
                        <w:color w:val="000000"/>
                        <w:sz w:val="20"/>
                        <w:szCs w:val="20"/>
                      </w:rPr>
                    </m:ctrlPr>
                  </m:sup>
                </m:sSup>
              </m:oMath>
            </m:oMathPara>
          </w:p>
        </w:tc>
        <w:tc>
          <w:tcPr>
            <w:tcW w:w="797" w:type="pct"/>
            <w:tcBorders>
              <w:top w:val="single" w:color="auto" w:sz="4" w:space="0"/>
              <w:left w:val="nil"/>
              <w:bottom w:val="nil"/>
              <w:right w:val="nil"/>
            </w:tcBorders>
          </w:tcPr>
          <w:p w14:paraId="2E0E35FE">
            <w:pPr>
              <w:pStyle w:val="69"/>
              <w:spacing w:line="360" w:lineRule="auto"/>
              <w:rPr>
                <w:rFonts w:ascii="Times New Roman" w:hAnsi="Times New Roman"/>
                <w:color w:val="000000"/>
                <w:sz w:val="20"/>
                <w:szCs w:val="20"/>
              </w:rPr>
            </w:pPr>
            <w:r>
              <w:rPr>
                <w:rFonts w:ascii="Times New Roman" w:hAnsi="Times New Roman"/>
                <w:color w:val="000000"/>
                <w:sz w:val="20"/>
                <w:szCs w:val="20"/>
              </w:rPr>
              <w:t>0.4917</w:t>
            </w:r>
          </w:p>
        </w:tc>
        <w:tc>
          <w:tcPr>
            <w:tcW w:w="730" w:type="pct"/>
            <w:tcBorders>
              <w:top w:val="single" w:color="auto" w:sz="4" w:space="0"/>
              <w:left w:val="nil"/>
              <w:bottom w:val="nil"/>
              <w:right w:val="nil"/>
            </w:tcBorders>
          </w:tcPr>
          <w:p w14:paraId="723A160E">
            <w:pPr>
              <w:pStyle w:val="69"/>
              <w:spacing w:line="360" w:lineRule="auto"/>
              <w:rPr>
                <w:rFonts w:ascii="Times New Roman" w:hAnsi="Times New Roman"/>
                <w:color w:val="000000"/>
                <w:sz w:val="20"/>
                <w:szCs w:val="20"/>
              </w:rPr>
            </w:pPr>
            <w:r>
              <w:rPr>
                <w:rFonts w:ascii="Times New Roman" w:hAnsi="Times New Roman"/>
                <w:color w:val="000000"/>
                <w:sz w:val="20"/>
                <w:szCs w:val="20"/>
              </w:rPr>
              <w:t>0.3185</w:t>
            </w:r>
          </w:p>
        </w:tc>
        <w:tc>
          <w:tcPr>
            <w:tcW w:w="889" w:type="pct"/>
            <w:tcBorders>
              <w:top w:val="single" w:color="auto" w:sz="4" w:space="0"/>
              <w:left w:val="nil"/>
              <w:bottom w:val="nil"/>
              <w:right w:val="nil"/>
            </w:tcBorders>
          </w:tcPr>
          <w:p w14:paraId="396D0D8C">
            <w:pPr>
              <w:pStyle w:val="69"/>
              <w:spacing w:line="360" w:lineRule="auto"/>
              <w:rPr>
                <w:rFonts w:ascii="Times New Roman" w:hAnsi="Times New Roman"/>
                <w:color w:val="000000"/>
                <w:sz w:val="20"/>
                <w:szCs w:val="20"/>
              </w:rPr>
            </w:pPr>
            <w:r>
              <w:rPr>
                <w:rFonts w:ascii="Times New Roman" w:hAnsi="Times New Roman"/>
                <w:color w:val="000000"/>
                <w:sz w:val="20"/>
                <w:szCs w:val="20"/>
              </w:rPr>
              <w:t>0.6267</w:t>
            </w:r>
          </w:p>
        </w:tc>
        <w:tc>
          <w:tcPr>
            <w:tcW w:w="919" w:type="pct"/>
            <w:tcBorders>
              <w:top w:val="single" w:color="auto" w:sz="4" w:space="0"/>
              <w:left w:val="nil"/>
              <w:bottom w:val="nil"/>
              <w:right w:val="nil"/>
            </w:tcBorders>
          </w:tcPr>
          <w:p w14:paraId="27AD9472">
            <w:pPr>
              <w:pStyle w:val="69"/>
              <w:spacing w:line="360" w:lineRule="auto"/>
              <w:rPr>
                <w:rFonts w:ascii="Times New Roman" w:hAnsi="Times New Roman"/>
                <w:color w:val="000000"/>
                <w:sz w:val="20"/>
                <w:szCs w:val="20"/>
              </w:rPr>
            </w:pPr>
            <w:r>
              <w:rPr>
                <w:rFonts w:ascii="Times New Roman" w:hAnsi="Times New Roman"/>
                <w:color w:val="000000"/>
                <w:sz w:val="20"/>
                <w:szCs w:val="20"/>
              </w:rPr>
              <w:t>0.1881</w:t>
            </w:r>
          </w:p>
        </w:tc>
        <w:tc>
          <w:tcPr>
            <w:tcW w:w="918" w:type="pct"/>
            <w:tcBorders>
              <w:top w:val="single" w:color="auto" w:sz="4" w:space="0"/>
              <w:left w:val="nil"/>
              <w:bottom w:val="nil"/>
              <w:right w:val="nil"/>
            </w:tcBorders>
          </w:tcPr>
          <w:p w14:paraId="4924920F">
            <w:pPr>
              <w:pStyle w:val="69"/>
              <w:spacing w:line="360" w:lineRule="auto"/>
              <w:rPr>
                <w:rFonts w:ascii="Times New Roman" w:hAnsi="Times New Roman"/>
                <w:color w:val="000000"/>
                <w:sz w:val="20"/>
                <w:szCs w:val="20"/>
              </w:rPr>
            </w:pPr>
            <w:r>
              <w:rPr>
                <w:rFonts w:ascii="Times New Roman" w:hAnsi="Times New Roman"/>
                <w:color w:val="000000"/>
                <w:sz w:val="20"/>
                <w:szCs w:val="20"/>
              </w:rPr>
              <w:t>0.2409</w:t>
            </w:r>
          </w:p>
        </w:tc>
      </w:tr>
      <w:tr w14:paraId="6D35AFDD">
        <w:trPr>
          <w:trHeight w:val="411" w:hRule="atLeast"/>
        </w:trPr>
        <w:tc>
          <w:tcPr>
            <w:tcW w:w="747" w:type="pct"/>
            <w:tcBorders>
              <w:top w:val="single" w:color="auto" w:sz="4" w:space="0"/>
              <w:left w:val="nil"/>
              <w:bottom w:val="nil"/>
              <w:right w:val="nil"/>
            </w:tcBorders>
          </w:tcPr>
          <w:p w14:paraId="0AA20A59">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797" w:type="pct"/>
            <w:tcBorders>
              <w:top w:val="single" w:color="auto" w:sz="4" w:space="0"/>
              <w:left w:val="nil"/>
              <w:bottom w:val="nil"/>
              <w:right w:val="nil"/>
            </w:tcBorders>
          </w:tcPr>
          <w:p w14:paraId="0573BA0C">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730" w:type="pct"/>
            <w:tcBorders>
              <w:top w:val="single" w:color="auto" w:sz="4" w:space="0"/>
              <w:left w:val="nil"/>
              <w:bottom w:val="nil"/>
              <w:right w:val="nil"/>
            </w:tcBorders>
          </w:tcPr>
          <w:p w14:paraId="43B51D4D">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89" w:type="pct"/>
            <w:tcBorders>
              <w:top w:val="single" w:color="auto" w:sz="4" w:space="0"/>
              <w:left w:val="nil"/>
              <w:bottom w:val="nil"/>
              <w:right w:val="nil"/>
            </w:tcBorders>
          </w:tcPr>
          <w:p w14:paraId="1631DCA1">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19" w:type="pct"/>
            <w:tcBorders>
              <w:top w:val="single" w:color="auto" w:sz="4" w:space="0"/>
              <w:left w:val="nil"/>
              <w:bottom w:val="nil"/>
              <w:right w:val="nil"/>
            </w:tcBorders>
          </w:tcPr>
          <w:p w14:paraId="11E9D52C">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18" w:type="pct"/>
            <w:tcBorders>
              <w:top w:val="single" w:color="auto" w:sz="4" w:space="0"/>
              <w:left w:val="nil"/>
              <w:bottom w:val="nil"/>
              <w:right w:val="nil"/>
            </w:tcBorders>
          </w:tcPr>
          <w:p w14:paraId="52A3B3CD">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5B7A05CD">
        <w:trPr>
          <w:trHeight w:val="411" w:hRule="atLeast"/>
        </w:trPr>
        <w:tc>
          <w:tcPr>
            <w:tcW w:w="747" w:type="pct"/>
            <w:tcBorders>
              <w:top w:val="nil"/>
              <w:left w:val="nil"/>
              <w:bottom w:val="single" w:color="000000" w:sz="4" w:space="0"/>
              <w:right w:val="nil"/>
            </w:tcBorders>
          </w:tcPr>
          <w:p w14:paraId="3FA89CCF">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797" w:type="pct"/>
            <w:tcBorders>
              <w:top w:val="nil"/>
              <w:left w:val="nil"/>
              <w:bottom w:val="single" w:color="000000" w:sz="4" w:space="0"/>
              <w:right w:val="nil"/>
            </w:tcBorders>
          </w:tcPr>
          <w:p w14:paraId="42947DDA">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730" w:type="pct"/>
            <w:tcBorders>
              <w:top w:val="nil"/>
              <w:left w:val="nil"/>
              <w:bottom w:val="single" w:color="000000" w:sz="4" w:space="0"/>
              <w:right w:val="nil"/>
            </w:tcBorders>
          </w:tcPr>
          <w:p w14:paraId="55ACE711">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89" w:type="pct"/>
            <w:tcBorders>
              <w:top w:val="nil"/>
              <w:left w:val="nil"/>
              <w:bottom w:val="single" w:color="000000" w:sz="4" w:space="0"/>
              <w:right w:val="nil"/>
            </w:tcBorders>
          </w:tcPr>
          <w:p w14:paraId="65294CF7">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19" w:type="pct"/>
            <w:tcBorders>
              <w:top w:val="nil"/>
              <w:left w:val="nil"/>
              <w:bottom w:val="single" w:color="000000" w:sz="4" w:space="0"/>
              <w:right w:val="nil"/>
            </w:tcBorders>
          </w:tcPr>
          <w:p w14:paraId="7C7A9F1B">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18" w:type="pct"/>
            <w:tcBorders>
              <w:top w:val="nil"/>
              <w:left w:val="nil"/>
              <w:bottom w:val="single" w:color="000000" w:sz="4" w:space="0"/>
              <w:right w:val="nil"/>
            </w:tcBorders>
          </w:tcPr>
          <w:p w14:paraId="0736C6EC">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tbl>
    <w:p w14:paraId="22DA4BA8">
      <w:pPr>
        <w:pStyle w:val="7"/>
      </w:pPr>
      <w:bookmarkStart w:id="127" w:name="_Toc216867801"/>
      <w:r>
        <w:t xml:space="preserve">Table </w:t>
      </w:r>
      <w:r>
        <w:rPr>
          <w:rFonts w:hint="eastAsia" w:eastAsia="宋体"/>
          <w:lang w:val="en-US" w:eastAsia="zh-CN"/>
        </w:rPr>
        <w:t>12</w:t>
      </w:r>
      <w:r>
        <w:t xml:space="preserve"> Robustness Test Using Winsorized Typhoon Intensity: Model 2</w:t>
      </w:r>
      <w:bookmarkEnd w:id="127"/>
    </w:p>
    <w:tbl>
      <w:tblPr>
        <w:tblStyle w:val="25"/>
        <w:tblW w:w="4181"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50"/>
        <w:gridCol w:w="3504"/>
      </w:tblGrid>
      <w:tr w14:paraId="51351680">
        <w:trPr>
          <w:jc w:val="center"/>
        </w:trPr>
        <w:tc>
          <w:tcPr>
            <w:tcW w:w="2516" w:type="pct"/>
            <w:tcBorders>
              <w:top w:val="single" w:color="auto" w:sz="4" w:space="0"/>
              <w:left w:val="nil"/>
              <w:bottom w:val="nil"/>
              <w:right w:val="nil"/>
            </w:tcBorders>
          </w:tcPr>
          <w:p w14:paraId="2B953251">
            <w:pPr>
              <w:pStyle w:val="69"/>
              <w:spacing w:line="360" w:lineRule="auto"/>
              <w:rPr>
                <w:rFonts w:ascii="Times New Roman" w:hAnsi="Times New Roman"/>
                <w:color w:val="000000"/>
                <w:sz w:val="20"/>
                <w:szCs w:val="20"/>
              </w:rPr>
            </w:pPr>
            <w:bookmarkStart w:id="128" w:name="OLE_LINK64"/>
            <w:r>
              <w:rPr>
                <w:rFonts w:ascii="Times New Roman" w:hAnsi="Times New Roman"/>
                <w:color w:val="000000"/>
                <w:sz w:val="20"/>
                <w:szCs w:val="20"/>
              </w:rPr>
              <w:t>Dependent variable</w:t>
            </w:r>
          </w:p>
        </w:tc>
        <w:tc>
          <w:tcPr>
            <w:tcW w:w="2484" w:type="pct"/>
            <w:tcBorders>
              <w:top w:val="single" w:color="auto" w:sz="4" w:space="0"/>
              <w:left w:val="nil"/>
              <w:bottom w:val="single" w:color="auto" w:sz="4" w:space="0"/>
              <w:right w:val="nil"/>
            </w:tcBorders>
            <w:vAlign w:val="center"/>
          </w:tcPr>
          <w:p w14:paraId="15B80F71">
            <w:pPr>
              <w:pStyle w:val="69"/>
              <w:spacing w:line="360" w:lineRule="auto"/>
              <w:rPr>
                <w:rFonts w:ascii="Times New Roman" w:hAnsi="Times New Roman"/>
                <w:color w:val="000000"/>
                <w:sz w:val="20"/>
                <w:szCs w:val="20"/>
              </w:rPr>
            </w:pPr>
            <w:r>
              <w:rPr>
                <w:rFonts w:ascii="Times New Roman" w:hAnsi="Times New Roman"/>
                <w:color w:val="000000"/>
                <w:sz w:val="20"/>
                <w:szCs w:val="20"/>
              </w:rPr>
              <w:t>(1) GCF</w:t>
            </w:r>
          </w:p>
        </w:tc>
      </w:tr>
      <w:tr w14:paraId="222D31E0">
        <w:trPr>
          <w:jc w:val="center"/>
        </w:trPr>
        <w:tc>
          <w:tcPr>
            <w:tcW w:w="2516" w:type="pct"/>
            <w:tcBorders>
              <w:top w:val="nil"/>
              <w:left w:val="nil"/>
              <w:bottom w:val="nil"/>
              <w:right w:val="nil"/>
            </w:tcBorders>
          </w:tcPr>
          <w:p w14:paraId="7CAD0C08">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2484" w:type="pct"/>
            <w:tcBorders>
              <w:top w:val="single" w:color="auto" w:sz="4" w:space="0"/>
              <w:left w:val="nil"/>
              <w:bottom w:val="single" w:color="auto" w:sz="4" w:space="0"/>
              <w:right w:val="nil"/>
            </w:tcBorders>
            <w:vAlign w:val="center"/>
          </w:tcPr>
          <w:p w14:paraId="15B37F74">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3EB09470">
        <w:trPr>
          <w:jc w:val="center"/>
        </w:trPr>
        <w:tc>
          <w:tcPr>
            <w:tcW w:w="2516" w:type="pct"/>
            <w:tcBorders>
              <w:top w:val="single" w:color="auto" w:sz="4" w:space="0"/>
              <w:left w:val="nil"/>
              <w:bottom w:val="nil"/>
              <w:right w:val="nil"/>
            </w:tcBorders>
          </w:tcPr>
          <w:p w14:paraId="3ADF22B6">
            <w:pPr>
              <w:pStyle w:val="69"/>
              <w:spacing w:line="360" w:lineRule="auto"/>
              <w:rPr>
                <w:rFonts w:ascii="Times New Roman" w:hAnsi="Times New Roman"/>
                <w:color w:val="000000"/>
                <w:sz w:val="20"/>
                <w:szCs w:val="20"/>
              </w:rPr>
            </w:pPr>
            <w:r>
              <w:rPr>
                <w:rFonts w:ascii="Times New Roman" w:hAnsi="Times New Roman"/>
                <w:color w:val="000000"/>
                <w:sz w:val="20"/>
                <w:szCs w:val="20"/>
              </w:rPr>
              <w:t>TEI_agri</w:t>
            </w:r>
          </w:p>
        </w:tc>
        <w:tc>
          <w:tcPr>
            <w:tcW w:w="2484" w:type="pct"/>
            <w:tcBorders>
              <w:top w:val="single" w:color="auto" w:sz="4" w:space="0"/>
              <w:left w:val="nil"/>
              <w:bottom w:val="nil"/>
              <w:right w:val="nil"/>
            </w:tcBorders>
          </w:tcPr>
          <w:p w14:paraId="1D436CC5">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-0.0239222 **</w:t>
            </w:r>
          </w:p>
        </w:tc>
      </w:tr>
      <w:tr w14:paraId="4D0861C6">
        <w:trPr>
          <w:jc w:val="center"/>
        </w:trPr>
        <w:tc>
          <w:tcPr>
            <w:tcW w:w="2516" w:type="pct"/>
            <w:tcBorders>
              <w:top w:val="nil"/>
              <w:left w:val="nil"/>
              <w:bottom w:val="nil"/>
              <w:right w:val="nil"/>
            </w:tcBorders>
          </w:tcPr>
          <w:p w14:paraId="173B627C">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5C3DE1B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(0.0108877)</w:t>
            </w:r>
          </w:p>
        </w:tc>
      </w:tr>
      <w:tr w14:paraId="2FD4E70A">
        <w:trPr>
          <w:jc w:val="center"/>
        </w:trPr>
        <w:tc>
          <w:tcPr>
            <w:tcW w:w="2516" w:type="pct"/>
            <w:tcBorders>
              <w:top w:val="nil"/>
              <w:left w:val="nil"/>
              <w:bottom w:val="nil"/>
              <w:right w:val="nil"/>
            </w:tcBorders>
          </w:tcPr>
          <w:p w14:paraId="559BC949">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2484" w:type="pct"/>
            <w:tcBorders>
              <w:top w:val="nil"/>
              <w:left w:val="nil"/>
              <w:bottom w:val="nil"/>
              <w:right w:val="nil"/>
            </w:tcBorders>
          </w:tcPr>
          <w:p w14:paraId="5485E5FC">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0.0211025</w:t>
            </w:r>
          </w:p>
        </w:tc>
      </w:tr>
      <w:tr w14:paraId="033EAE3F">
        <w:trPr>
          <w:jc w:val="center"/>
        </w:trPr>
        <w:tc>
          <w:tcPr>
            <w:tcW w:w="2516" w:type="pct"/>
            <w:tcBorders>
              <w:top w:val="nil"/>
              <w:left w:val="nil"/>
              <w:bottom w:val="nil"/>
              <w:right w:val="nil"/>
            </w:tcBorders>
          </w:tcPr>
          <w:p w14:paraId="15B03317">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23A4C5A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(0.0562579)</w:t>
            </w:r>
          </w:p>
        </w:tc>
      </w:tr>
      <w:tr w14:paraId="0A65A9BD">
        <w:trPr>
          <w:trHeight w:val="90" w:hRule="atLeast"/>
          <w:jc w:val="center"/>
        </w:trPr>
        <w:tc>
          <w:tcPr>
            <w:tcW w:w="2516" w:type="pct"/>
            <w:tcBorders>
              <w:top w:val="nil"/>
              <w:left w:val="nil"/>
              <w:bottom w:val="nil"/>
              <w:right w:val="nil"/>
            </w:tcBorders>
          </w:tcPr>
          <w:p w14:paraId="16AF6AED">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2484" w:type="pct"/>
            <w:tcBorders>
              <w:top w:val="nil"/>
              <w:left w:val="nil"/>
              <w:bottom w:val="nil"/>
              <w:right w:val="nil"/>
            </w:tcBorders>
          </w:tcPr>
          <w:p w14:paraId="62A5B6E0">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2.486398***</w:t>
            </w:r>
          </w:p>
        </w:tc>
      </w:tr>
      <w:tr w14:paraId="2110D9C1">
        <w:trPr>
          <w:jc w:val="center"/>
        </w:trPr>
        <w:tc>
          <w:tcPr>
            <w:tcW w:w="2516" w:type="pct"/>
            <w:tcBorders>
              <w:top w:val="nil"/>
              <w:left w:val="nil"/>
              <w:bottom w:val="nil"/>
              <w:right w:val="nil"/>
            </w:tcBorders>
          </w:tcPr>
          <w:p w14:paraId="792D5C86">
            <w:pPr>
              <w:pStyle w:val="69"/>
              <w:spacing w:line="360" w:lineRule="auto"/>
              <w:rPr>
                <w:rFonts w:ascii="Times New Roman" w:hAnsi="Times New Roman"/>
                <w:color w:val="000000"/>
                <w:sz w:val="20"/>
                <w:szCs w:val="20"/>
              </w:rPr>
            </w:pPr>
          </w:p>
        </w:tc>
        <w:tc>
          <w:tcPr>
            <w:tcW w:w="2484" w:type="pct"/>
            <w:tcBorders>
              <w:top w:val="nil"/>
              <w:left w:val="nil"/>
              <w:bottom w:val="nil"/>
              <w:right w:val="nil"/>
            </w:tcBorders>
          </w:tcPr>
          <w:p w14:paraId="5C43689B">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(0.8062634)</w:t>
            </w:r>
          </w:p>
        </w:tc>
      </w:tr>
      <w:tr w14:paraId="794731DA">
        <w:trPr>
          <w:jc w:val="center"/>
        </w:trPr>
        <w:tc>
          <w:tcPr>
            <w:tcW w:w="2516" w:type="pct"/>
            <w:tcBorders>
              <w:top w:val="nil"/>
              <w:left w:val="nil"/>
              <w:bottom w:val="nil"/>
              <w:right w:val="nil"/>
            </w:tcBorders>
          </w:tcPr>
          <w:p w14:paraId="1E7E739E">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2484" w:type="pct"/>
            <w:tcBorders>
              <w:top w:val="nil"/>
              <w:left w:val="nil"/>
              <w:bottom w:val="nil"/>
              <w:right w:val="nil"/>
            </w:tcBorders>
          </w:tcPr>
          <w:p w14:paraId="74263835">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-0.2062354</w:t>
            </w:r>
          </w:p>
        </w:tc>
      </w:tr>
      <w:tr w14:paraId="5E8042E2">
        <w:trPr>
          <w:trHeight w:val="411" w:hRule="atLeast"/>
          <w:jc w:val="center"/>
        </w:trPr>
        <w:tc>
          <w:tcPr>
            <w:tcW w:w="2516" w:type="pct"/>
            <w:tcBorders>
              <w:top w:val="nil"/>
              <w:left w:val="nil"/>
              <w:bottom w:val="single" w:color="auto" w:sz="4" w:space="0"/>
              <w:right w:val="nil"/>
            </w:tcBorders>
          </w:tcPr>
          <w:p w14:paraId="3B5067EA">
            <w:pPr>
              <w:pStyle w:val="69"/>
              <w:spacing w:line="360" w:lineRule="auto"/>
              <w:rPr>
                <w:rFonts w:ascii="Times New Roman" w:hAnsi="Times New Roman"/>
                <w:color w:val="000000"/>
                <w:sz w:val="20"/>
                <w:szCs w:val="20"/>
              </w:rPr>
            </w:pPr>
          </w:p>
        </w:tc>
        <w:tc>
          <w:tcPr>
            <w:tcW w:w="2484" w:type="pct"/>
            <w:tcBorders>
              <w:top w:val="nil"/>
              <w:left w:val="nil"/>
              <w:bottom w:val="single" w:color="auto" w:sz="4" w:space="0"/>
              <w:right w:val="nil"/>
            </w:tcBorders>
          </w:tcPr>
          <w:p w14:paraId="16AF4F4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(7.627144)</w:t>
            </w:r>
          </w:p>
        </w:tc>
      </w:tr>
      <w:tr w14:paraId="6959AB62">
        <w:trPr>
          <w:trHeight w:val="411" w:hRule="atLeast"/>
          <w:jc w:val="center"/>
        </w:trPr>
        <w:tc>
          <w:tcPr>
            <w:tcW w:w="2516" w:type="pct"/>
            <w:tcBorders>
              <w:top w:val="single" w:color="auto" w:sz="4" w:space="0"/>
              <w:left w:val="nil"/>
              <w:bottom w:val="nil"/>
              <w:right w:val="nil"/>
            </w:tcBorders>
          </w:tcPr>
          <w:p w14:paraId="7992C2DF">
            <w:pPr>
              <w:pStyle w:val="69"/>
              <w:autoSpaceDE w:val="0"/>
              <w:spacing w:line="360" w:lineRule="auto"/>
              <w:rPr>
                <w:rFonts w:ascii="Times New Roman" w:hAnsi="Times New Roman"/>
                <w:color w:val="000000"/>
                <w:sz w:val="20"/>
                <w:szCs w:val="20"/>
              </w:rPr>
            </w:pPr>
            <m:oMathPara>
              <m:oMathParaPr>
                <m:jc m:val="left"/>
              </m:oMathParaPr>
              <m:oMath>
                <m:sSup>
                  <m:sSupPr>
                    <m:ctrlPr>
                      <w:rPr>
                        <w:rFonts w:ascii="Cambria Math" w:hAnsi="Cambria Math"/>
                        <w:i/>
                        <w:color w:val="000000"/>
                        <w:sz w:val="20"/>
                        <w:szCs w:val="20"/>
                      </w:rPr>
                    </m:ctrlPr>
                  </m:sSupPr>
                  <m:e>
                    <m:r>
                      <m:rPr/>
                      <w:rPr>
                        <w:rFonts w:ascii="Cambria Math" w:hAnsi="Cambria Math"/>
                        <w:color w:val="000000"/>
                        <w:sz w:val="20"/>
                        <w:szCs w:val="20"/>
                      </w:rPr>
                      <m:t>R</m:t>
                    </m:r>
                    <m:ctrlPr>
                      <w:rPr>
                        <w:rFonts w:ascii="Cambria Math" w:hAnsi="Cambria Math"/>
                        <w:i/>
                        <w:color w:val="000000"/>
                        <w:sz w:val="20"/>
                        <w:szCs w:val="20"/>
                      </w:rPr>
                    </m:ctrlPr>
                  </m:e>
                  <m:sup>
                    <m:r>
                      <m:rPr/>
                      <w:rPr>
                        <w:rFonts w:ascii="Cambria Math" w:hAnsi="Cambria Math"/>
                        <w:color w:val="000000"/>
                        <w:sz w:val="20"/>
                        <w:szCs w:val="20"/>
                      </w:rPr>
                      <m:t>2</m:t>
                    </m:r>
                    <m:ctrlPr>
                      <w:rPr>
                        <w:rFonts w:ascii="Cambria Math" w:hAnsi="Cambria Math"/>
                        <w:i/>
                        <w:color w:val="000000"/>
                        <w:sz w:val="20"/>
                        <w:szCs w:val="20"/>
                      </w:rPr>
                    </m:ctrlPr>
                  </m:sup>
                </m:sSup>
              </m:oMath>
            </m:oMathPara>
          </w:p>
        </w:tc>
        <w:tc>
          <w:tcPr>
            <w:tcW w:w="2484" w:type="pct"/>
            <w:tcBorders>
              <w:top w:val="single" w:color="auto" w:sz="4" w:space="0"/>
              <w:left w:val="nil"/>
              <w:bottom w:val="nil"/>
              <w:right w:val="nil"/>
            </w:tcBorders>
          </w:tcPr>
          <w:p w14:paraId="0E4ADF00">
            <w:pPr>
              <w:pStyle w:val="69"/>
              <w:spacing w:line="360" w:lineRule="auto"/>
              <w:rPr>
                <w:rFonts w:ascii="Times New Roman" w:hAnsi="Times New Roman"/>
                <w:color w:val="000000"/>
                <w:sz w:val="20"/>
                <w:szCs w:val="20"/>
              </w:rPr>
            </w:pPr>
            <w:r>
              <w:rPr>
                <w:rFonts w:ascii="Times New Roman" w:hAnsi="Times New Roman"/>
                <w:color w:val="000000"/>
                <w:sz w:val="20"/>
                <w:szCs w:val="20"/>
              </w:rPr>
              <w:t>0.3604</w:t>
            </w:r>
          </w:p>
        </w:tc>
      </w:tr>
      <w:tr w14:paraId="31ECBDFA">
        <w:trPr>
          <w:trHeight w:val="411" w:hRule="atLeast"/>
          <w:jc w:val="center"/>
        </w:trPr>
        <w:tc>
          <w:tcPr>
            <w:tcW w:w="2516" w:type="pct"/>
            <w:tcBorders>
              <w:top w:val="single" w:color="auto" w:sz="4" w:space="0"/>
              <w:left w:val="nil"/>
              <w:bottom w:val="nil"/>
              <w:right w:val="nil"/>
            </w:tcBorders>
          </w:tcPr>
          <w:p w14:paraId="3010CB22">
            <w:pPr>
              <w:pStyle w:val="69"/>
              <w:autoSpaceDE w:val="0"/>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2484" w:type="pct"/>
            <w:tcBorders>
              <w:top w:val="single" w:color="auto" w:sz="4" w:space="0"/>
              <w:left w:val="nil"/>
              <w:bottom w:val="nil"/>
              <w:right w:val="nil"/>
            </w:tcBorders>
          </w:tcPr>
          <w:p w14:paraId="0F4DACD9">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373BE34D">
        <w:trPr>
          <w:trHeight w:val="411" w:hRule="atLeast"/>
          <w:jc w:val="center"/>
        </w:trPr>
        <w:tc>
          <w:tcPr>
            <w:tcW w:w="2516" w:type="pct"/>
            <w:tcBorders>
              <w:top w:val="nil"/>
              <w:left w:val="nil"/>
              <w:bottom w:val="single" w:color="000000" w:sz="4" w:space="0"/>
              <w:right w:val="nil"/>
            </w:tcBorders>
          </w:tcPr>
          <w:p w14:paraId="6240DBB0">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2484" w:type="pct"/>
            <w:tcBorders>
              <w:top w:val="nil"/>
              <w:left w:val="nil"/>
              <w:bottom w:val="single" w:color="000000" w:sz="4" w:space="0"/>
              <w:right w:val="nil"/>
            </w:tcBorders>
          </w:tcPr>
          <w:p w14:paraId="6D38CDCB">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bookmarkEnd w:id="128"/>
    </w:tbl>
    <w:p w14:paraId="4DB92994">
      <w:pPr>
        <w:pStyle w:val="7"/>
      </w:pPr>
      <w:bookmarkStart w:id="129" w:name="_Toc216867802"/>
      <w:r>
        <w:t xml:space="preserve">Table </w:t>
      </w:r>
      <w:r>
        <w:rPr>
          <w:rFonts w:hint="eastAsia" w:eastAsia="宋体"/>
          <w:lang w:val="en-US" w:eastAsia="zh-CN"/>
        </w:rPr>
        <w:t>13</w:t>
      </w:r>
      <w:r>
        <w:t xml:space="preserve"> Robustness Test Using Winsorized Typhoon Intensity: Model 3</w:t>
      </w:r>
      <w:bookmarkEnd w:id="129"/>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402"/>
        <w:gridCol w:w="1247"/>
        <w:gridCol w:w="1498"/>
        <w:gridCol w:w="1515"/>
        <w:gridCol w:w="1514"/>
      </w:tblGrid>
      <w:tr w14:paraId="04997182">
        <w:tc>
          <w:tcPr>
            <w:tcW w:w="747" w:type="pct"/>
            <w:tcBorders>
              <w:top w:val="single" w:color="auto" w:sz="4" w:space="0"/>
              <w:left w:val="nil"/>
              <w:bottom w:val="nil"/>
              <w:right w:val="nil"/>
            </w:tcBorders>
          </w:tcPr>
          <w:p w14:paraId="537CFB37">
            <w:pPr>
              <w:pStyle w:val="22"/>
              <w:widowControl/>
              <w:autoSpaceDE w:val="0"/>
              <w:spacing w:before="100" w:beforeAutospacing="1"/>
              <w:jc w:val="left"/>
              <w:rPr>
                <w:rFonts w:eastAsia="宋体" w:cs="Times New Roman"/>
                <w:color w:val="000000"/>
                <w:sz w:val="20"/>
                <w:szCs w:val="20"/>
              </w:rPr>
            </w:pPr>
            <w:bookmarkStart w:id="130" w:name="OLE_LINK65"/>
            <w:r>
              <w:rPr>
                <w:rFonts w:cs="Times New Roman"/>
                <w:color w:val="000000"/>
                <w:sz w:val="20"/>
                <w:szCs w:val="20"/>
              </w:rPr>
              <w:t>Dependent variable</w:t>
            </w:r>
          </w:p>
        </w:tc>
        <w:tc>
          <w:tcPr>
            <w:tcW w:w="831" w:type="pct"/>
            <w:tcBorders>
              <w:top w:val="single" w:color="auto" w:sz="4" w:space="0"/>
              <w:left w:val="nil"/>
              <w:bottom w:val="single" w:color="auto" w:sz="4" w:space="0"/>
              <w:right w:val="nil"/>
            </w:tcBorders>
            <w:vAlign w:val="center"/>
          </w:tcPr>
          <w:p w14:paraId="7CBE4EC2">
            <w:pPr>
              <w:pStyle w:val="22"/>
              <w:widowControl/>
              <w:autoSpaceDE w:val="0"/>
              <w:spacing w:before="100" w:beforeAutospacing="1"/>
              <w:jc w:val="left"/>
              <w:rPr>
                <w:rFonts w:cs="Times New Roman"/>
                <w:color w:val="000000"/>
                <w:sz w:val="20"/>
                <w:szCs w:val="20"/>
              </w:rPr>
            </w:pPr>
            <w:r>
              <w:rPr>
                <w:rFonts w:cs="Times New Roman"/>
                <w:color w:val="000000"/>
                <w:sz w:val="20"/>
                <w:szCs w:val="20"/>
              </w:rPr>
              <w:t>(1) GDP</w:t>
            </w:r>
          </w:p>
        </w:tc>
        <w:tc>
          <w:tcPr>
            <w:tcW w:w="739" w:type="pct"/>
            <w:tcBorders>
              <w:top w:val="single" w:color="auto" w:sz="4" w:space="0"/>
              <w:left w:val="nil"/>
              <w:bottom w:val="single" w:color="auto" w:sz="4" w:space="0"/>
              <w:right w:val="nil"/>
            </w:tcBorders>
            <w:vAlign w:val="center"/>
          </w:tcPr>
          <w:p w14:paraId="2BE06A41">
            <w:pPr>
              <w:pStyle w:val="22"/>
              <w:widowControl/>
              <w:autoSpaceDE w:val="0"/>
              <w:spacing w:before="100" w:beforeAutospacing="1"/>
              <w:jc w:val="left"/>
              <w:rPr>
                <w:rFonts w:cs="Times New Roman"/>
                <w:color w:val="000000"/>
                <w:sz w:val="20"/>
                <w:szCs w:val="20"/>
              </w:rPr>
            </w:pPr>
            <w:r>
              <w:rPr>
                <w:rFonts w:cs="Times New Roman"/>
                <w:color w:val="000000"/>
                <w:sz w:val="20"/>
                <w:szCs w:val="20"/>
              </w:rPr>
              <w:t>(2) UE</w:t>
            </w:r>
          </w:p>
        </w:tc>
        <w:tc>
          <w:tcPr>
            <w:tcW w:w="888" w:type="pct"/>
            <w:tcBorders>
              <w:top w:val="single" w:color="auto" w:sz="4" w:space="0"/>
              <w:left w:val="nil"/>
              <w:bottom w:val="single" w:color="auto" w:sz="4" w:space="0"/>
              <w:right w:val="nil"/>
            </w:tcBorders>
            <w:vAlign w:val="center"/>
          </w:tcPr>
          <w:p w14:paraId="5B590A2A">
            <w:pPr>
              <w:pStyle w:val="22"/>
              <w:widowControl/>
              <w:autoSpaceDE w:val="0"/>
              <w:spacing w:before="100" w:beforeAutospacing="1"/>
              <w:jc w:val="left"/>
              <w:rPr>
                <w:rFonts w:cs="Times New Roman"/>
                <w:color w:val="000000"/>
                <w:sz w:val="20"/>
                <w:szCs w:val="20"/>
              </w:rPr>
            </w:pPr>
            <w:r>
              <w:rPr>
                <w:rFonts w:cs="Times New Roman"/>
                <w:color w:val="000000"/>
                <w:sz w:val="20"/>
                <w:szCs w:val="20"/>
              </w:rPr>
              <w:t>(3) AR</w:t>
            </w:r>
          </w:p>
        </w:tc>
        <w:tc>
          <w:tcPr>
            <w:tcW w:w="898" w:type="pct"/>
            <w:tcBorders>
              <w:top w:val="single" w:color="auto" w:sz="4" w:space="0"/>
              <w:left w:val="nil"/>
              <w:bottom w:val="single" w:color="auto" w:sz="4" w:space="0"/>
              <w:right w:val="nil"/>
            </w:tcBorders>
            <w:vAlign w:val="center"/>
          </w:tcPr>
          <w:p w14:paraId="01E7E333">
            <w:pPr>
              <w:pStyle w:val="22"/>
              <w:widowControl/>
              <w:autoSpaceDE w:val="0"/>
              <w:spacing w:before="100" w:beforeAutospacing="1"/>
              <w:jc w:val="left"/>
              <w:rPr>
                <w:rFonts w:cs="Times New Roman"/>
                <w:color w:val="000000"/>
                <w:sz w:val="20"/>
                <w:szCs w:val="20"/>
              </w:rPr>
            </w:pPr>
            <w:r>
              <w:rPr>
                <w:rFonts w:cs="Times New Roman"/>
                <w:color w:val="000000"/>
                <w:sz w:val="20"/>
                <w:szCs w:val="20"/>
              </w:rPr>
              <w:t>(4) FDI</w:t>
            </w:r>
          </w:p>
        </w:tc>
        <w:tc>
          <w:tcPr>
            <w:tcW w:w="897" w:type="pct"/>
            <w:tcBorders>
              <w:top w:val="single" w:color="auto" w:sz="4" w:space="0"/>
              <w:left w:val="nil"/>
              <w:bottom w:val="single" w:color="auto" w:sz="4" w:space="0"/>
              <w:right w:val="nil"/>
            </w:tcBorders>
            <w:vAlign w:val="center"/>
          </w:tcPr>
          <w:p w14:paraId="3803CB42">
            <w:pPr>
              <w:pStyle w:val="22"/>
              <w:widowControl/>
              <w:autoSpaceDE w:val="0"/>
              <w:spacing w:before="100" w:beforeAutospacing="1"/>
              <w:jc w:val="left"/>
              <w:rPr>
                <w:rFonts w:cs="Times New Roman"/>
                <w:color w:val="000000"/>
                <w:sz w:val="20"/>
                <w:szCs w:val="20"/>
              </w:rPr>
            </w:pPr>
            <w:r>
              <w:rPr>
                <w:rFonts w:cs="Times New Roman"/>
                <w:color w:val="000000"/>
                <w:sz w:val="20"/>
                <w:szCs w:val="20"/>
              </w:rPr>
              <w:t>(5) INFLA</w:t>
            </w:r>
          </w:p>
        </w:tc>
      </w:tr>
      <w:tr w14:paraId="4D2F59A8">
        <w:tc>
          <w:tcPr>
            <w:tcW w:w="747" w:type="pct"/>
            <w:tcBorders>
              <w:top w:val="nil"/>
              <w:left w:val="nil"/>
              <w:bottom w:val="nil"/>
              <w:right w:val="nil"/>
            </w:tcBorders>
          </w:tcPr>
          <w:p w14:paraId="0DA43A22">
            <w:pPr>
              <w:pStyle w:val="22"/>
              <w:widowControl/>
              <w:autoSpaceDE w:val="0"/>
              <w:spacing w:before="100" w:beforeAutospacing="1"/>
              <w:jc w:val="left"/>
              <w:rPr>
                <w:rFonts w:cs="Times New Roman"/>
                <w:color w:val="000000"/>
                <w:sz w:val="20"/>
                <w:szCs w:val="20"/>
              </w:rPr>
            </w:pPr>
            <w:r>
              <w:rPr>
                <w:rFonts w:cs="Times New Roman"/>
                <w:color w:val="000000"/>
                <w:sz w:val="20"/>
                <w:szCs w:val="20"/>
              </w:rPr>
              <w:t>Estimation methods</w:t>
            </w:r>
          </w:p>
        </w:tc>
        <w:tc>
          <w:tcPr>
            <w:tcW w:w="831" w:type="pct"/>
            <w:tcBorders>
              <w:top w:val="single" w:color="auto" w:sz="4" w:space="0"/>
              <w:left w:val="nil"/>
              <w:bottom w:val="single" w:color="auto" w:sz="4" w:space="0"/>
              <w:right w:val="nil"/>
            </w:tcBorders>
            <w:vAlign w:val="center"/>
          </w:tcPr>
          <w:p w14:paraId="7056DCC7">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739" w:type="pct"/>
            <w:tcBorders>
              <w:top w:val="single" w:color="auto" w:sz="4" w:space="0"/>
              <w:left w:val="nil"/>
              <w:bottom w:val="single" w:color="auto" w:sz="4" w:space="0"/>
              <w:right w:val="nil"/>
            </w:tcBorders>
            <w:vAlign w:val="center"/>
          </w:tcPr>
          <w:p w14:paraId="4F60A17F">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888" w:type="pct"/>
            <w:tcBorders>
              <w:top w:val="single" w:color="auto" w:sz="4" w:space="0"/>
              <w:left w:val="nil"/>
              <w:bottom w:val="single" w:color="auto" w:sz="4" w:space="0"/>
              <w:right w:val="nil"/>
            </w:tcBorders>
            <w:vAlign w:val="center"/>
          </w:tcPr>
          <w:p w14:paraId="492071DC">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898" w:type="pct"/>
            <w:tcBorders>
              <w:top w:val="single" w:color="auto" w:sz="4" w:space="0"/>
              <w:left w:val="nil"/>
              <w:bottom w:val="single" w:color="auto" w:sz="4" w:space="0"/>
              <w:right w:val="nil"/>
            </w:tcBorders>
            <w:vAlign w:val="center"/>
          </w:tcPr>
          <w:p w14:paraId="7CBCCDE6">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897" w:type="pct"/>
            <w:tcBorders>
              <w:top w:val="single" w:color="auto" w:sz="4" w:space="0"/>
              <w:left w:val="nil"/>
              <w:bottom w:val="single" w:color="auto" w:sz="4" w:space="0"/>
              <w:right w:val="nil"/>
            </w:tcBorders>
            <w:vAlign w:val="center"/>
          </w:tcPr>
          <w:p w14:paraId="7233ED9B">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r>
      <w:tr w14:paraId="0C319801">
        <w:tc>
          <w:tcPr>
            <w:tcW w:w="747" w:type="pct"/>
            <w:tcBorders>
              <w:top w:val="single" w:color="auto" w:sz="4" w:space="0"/>
              <w:left w:val="nil"/>
              <w:bottom w:val="nil"/>
              <w:right w:val="nil"/>
            </w:tcBorders>
          </w:tcPr>
          <w:p w14:paraId="2C8F4FBC">
            <w:pPr>
              <w:pStyle w:val="22"/>
              <w:widowControl/>
              <w:autoSpaceDE w:val="0"/>
              <w:spacing w:before="100" w:beforeAutospacing="1"/>
              <w:jc w:val="left"/>
              <w:rPr>
                <w:rFonts w:cs="Times New Roman"/>
                <w:b/>
                <w:color w:val="000000"/>
                <w:sz w:val="20"/>
                <w:szCs w:val="20"/>
              </w:rPr>
            </w:pPr>
            <w:r>
              <w:rPr>
                <w:rFonts w:cs="Times New Roman"/>
                <w:b/>
                <w:bCs w:val="0"/>
                <w:color w:val="000000"/>
                <w:sz w:val="20"/>
                <w:szCs w:val="20"/>
              </w:rPr>
              <w:t>TEI_agri</w:t>
            </w:r>
          </w:p>
        </w:tc>
        <w:tc>
          <w:tcPr>
            <w:tcW w:w="831" w:type="pct"/>
            <w:tcBorders>
              <w:top w:val="single" w:color="auto" w:sz="4" w:space="0"/>
              <w:left w:val="nil"/>
              <w:bottom w:val="nil"/>
              <w:right w:val="nil"/>
            </w:tcBorders>
          </w:tcPr>
          <w:p w14:paraId="10F2A0A3">
            <w:pPr>
              <w:pStyle w:val="22"/>
              <w:widowControl/>
              <w:autoSpaceDE w:val="0"/>
              <w:spacing w:before="100" w:beforeAutospacing="1"/>
              <w:jc w:val="left"/>
              <w:rPr>
                <w:rFonts w:cs="Times New Roman"/>
                <w:bCs w:val="0"/>
                <w:color w:val="000000"/>
                <w:sz w:val="20"/>
                <w:szCs w:val="20"/>
              </w:rPr>
            </w:pPr>
            <w:r>
              <w:rPr>
                <w:rFonts w:cs="Times New Roman"/>
                <w:color w:val="000000"/>
                <w:sz w:val="20"/>
                <w:szCs w:val="20"/>
              </w:rPr>
              <w:t>0.0093879***</w:t>
            </w:r>
          </w:p>
        </w:tc>
        <w:tc>
          <w:tcPr>
            <w:tcW w:w="739" w:type="pct"/>
            <w:tcBorders>
              <w:top w:val="single" w:color="auto" w:sz="4" w:space="0"/>
              <w:left w:val="nil"/>
              <w:bottom w:val="nil"/>
              <w:right w:val="nil"/>
            </w:tcBorders>
          </w:tcPr>
          <w:p w14:paraId="47094FAD">
            <w:pPr>
              <w:pStyle w:val="22"/>
              <w:widowControl/>
              <w:autoSpaceDE w:val="0"/>
              <w:spacing w:before="100" w:beforeAutospacing="1"/>
              <w:jc w:val="left"/>
              <w:rPr>
                <w:rFonts w:cs="Times New Roman"/>
                <w:color w:val="000000"/>
                <w:sz w:val="20"/>
                <w:szCs w:val="20"/>
              </w:rPr>
            </w:pPr>
            <w:r>
              <w:rPr>
                <w:rFonts w:cs="Times New Roman"/>
                <w:color w:val="000000"/>
                <w:sz w:val="20"/>
                <w:szCs w:val="20"/>
              </w:rPr>
              <w:t>-0.0021726</w:t>
            </w:r>
          </w:p>
        </w:tc>
        <w:tc>
          <w:tcPr>
            <w:tcW w:w="888" w:type="pct"/>
            <w:tcBorders>
              <w:top w:val="single" w:color="auto" w:sz="4" w:space="0"/>
              <w:left w:val="nil"/>
              <w:bottom w:val="nil"/>
              <w:right w:val="nil"/>
            </w:tcBorders>
          </w:tcPr>
          <w:p w14:paraId="4B427E1B">
            <w:pPr>
              <w:pStyle w:val="22"/>
              <w:widowControl/>
              <w:autoSpaceDE w:val="0"/>
              <w:spacing w:before="100" w:beforeAutospacing="1"/>
              <w:rPr>
                <w:rFonts w:cs="Times New Roman"/>
                <w:color w:val="000000"/>
                <w:sz w:val="20"/>
                <w:szCs w:val="20"/>
              </w:rPr>
            </w:pPr>
            <w:r>
              <w:rPr>
                <w:rFonts w:cs="Times New Roman"/>
                <w:color w:val="000000"/>
                <w:sz w:val="20"/>
                <w:szCs w:val="20"/>
              </w:rPr>
              <w:t>0.0113073*</w:t>
            </w:r>
          </w:p>
        </w:tc>
        <w:tc>
          <w:tcPr>
            <w:tcW w:w="898" w:type="pct"/>
            <w:tcBorders>
              <w:top w:val="single" w:color="auto" w:sz="4" w:space="0"/>
              <w:left w:val="nil"/>
              <w:bottom w:val="nil"/>
              <w:right w:val="nil"/>
            </w:tcBorders>
          </w:tcPr>
          <w:p w14:paraId="50ECBEFA">
            <w:pPr>
              <w:pStyle w:val="22"/>
              <w:widowControl/>
              <w:autoSpaceDE w:val="0"/>
              <w:spacing w:before="100" w:beforeAutospacing="1"/>
              <w:jc w:val="left"/>
              <w:rPr>
                <w:rFonts w:cs="Times New Roman"/>
                <w:color w:val="000000"/>
                <w:sz w:val="20"/>
                <w:szCs w:val="20"/>
              </w:rPr>
            </w:pPr>
            <w:r>
              <w:rPr>
                <w:rFonts w:cs="Times New Roman"/>
                <w:color w:val="000000"/>
                <w:sz w:val="20"/>
                <w:szCs w:val="20"/>
              </w:rPr>
              <w:t>0.0018829</w:t>
            </w:r>
          </w:p>
        </w:tc>
        <w:tc>
          <w:tcPr>
            <w:tcW w:w="897" w:type="pct"/>
            <w:tcBorders>
              <w:top w:val="single" w:color="auto" w:sz="4" w:space="0"/>
              <w:left w:val="nil"/>
              <w:bottom w:val="nil"/>
              <w:right w:val="nil"/>
            </w:tcBorders>
          </w:tcPr>
          <w:p w14:paraId="25676F9D">
            <w:pPr>
              <w:pStyle w:val="22"/>
              <w:widowControl/>
              <w:autoSpaceDE w:val="0"/>
              <w:spacing w:before="100" w:beforeAutospacing="1"/>
              <w:jc w:val="left"/>
              <w:rPr>
                <w:rFonts w:cs="Times New Roman"/>
                <w:color w:val="000000"/>
                <w:sz w:val="20"/>
                <w:szCs w:val="20"/>
              </w:rPr>
            </w:pPr>
            <w:r>
              <w:rPr>
                <w:rFonts w:cs="Times New Roman"/>
                <w:color w:val="000000"/>
                <w:sz w:val="20"/>
                <w:szCs w:val="20"/>
              </w:rPr>
              <w:t>0.0275276**</w:t>
            </w:r>
          </w:p>
        </w:tc>
      </w:tr>
      <w:tr w14:paraId="6DBEC762">
        <w:tc>
          <w:tcPr>
            <w:tcW w:w="747" w:type="pct"/>
            <w:tcBorders>
              <w:top w:val="nil"/>
              <w:left w:val="nil"/>
              <w:bottom w:val="nil"/>
              <w:right w:val="nil"/>
            </w:tcBorders>
          </w:tcPr>
          <w:p w14:paraId="65A11A27">
            <w:pPr>
              <w:pStyle w:val="22"/>
              <w:widowControl/>
              <w:autoSpaceDE w:val="0"/>
              <w:spacing w:before="100" w:beforeAutospacing="1"/>
              <w:jc w:val="left"/>
              <w:rPr>
                <w:rFonts w:cs="Times New Roman"/>
                <w:color w:val="000000"/>
                <w:sz w:val="20"/>
                <w:szCs w:val="20"/>
              </w:rPr>
            </w:pPr>
          </w:p>
        </w:tc>
        <w:tc>
          <w:tcPr>
            <w:tcW w:w="831" w:type="pct"/>
            <w:tcBorders>
              <w:top w:val="nil"/>
              <w:left w:val="nil"/>
              <w:bottom w:val="nil"/>
              <w:right w:val="nil"/>
            </w:tcBorders>
          </w:tcPr>
          <w:p w14:paraId="7075486B">
            <w:pPr>
              <w:pStyle w:val="22"/>
              <w:widowControl/>
              <w:autoSpaceDE w:val="0"/>
              <w:spacing w:before="100" w:beforeAutospacing="1"/>
              <w:jc w:val="left"/>
              <w:rPr>
                <w:rFonts w:cs="Times New Roman"/>
                <w:color w:val="000000"/>
                <w:sz w:val="20"/>
                <w:szCs w:val="20"/>
              </w:rPr>
            </w:pPr>
            <w:r>
              <w:rPr>
                <w:rFonts w:cs="Times New Roman"/>
                <w:color w:val="000000"/>
                <w:sz w:val="20"/>
                <w:szCs w:val="20"/>
              </w:rPr>
              <w:t>(0.0028213)</w:t>
            </w:r>
          </w:p>
        </w:tc>
        <w:tc>
          <w:tcPr>
            <w:tcW w:w="739" w:type="pct"/>
            <w:tcBorders>
              <w:top w:val="nil"/>
              <w:left w:val="nil"/>
              <w:bottom w:val="nil"/>
              <w:right w:val="nil"/>
            </w:tcBorders>
          </w:tcPr>
          <w:p w14:paraId="5E68338B">
            <w:pPr>
              <w:pStyle w:val="22"/>
              <w:widowControl/>
              <w:autoSpaceDE w:val="0"/>
              <w:spacing w:before="100" w:beforeAutospacing="1"/>
              <w:jc w:val="left"/>
              <w:rPr>
                <w:rFonts w:cs="Times New Roman"/>
                <w:color w:val="000000"/>
                <w:sz w:val="20"/>
                <w:szCs w:val="20"/>
              </w:rPr>
            </w:pPr>
            <w:r>
              <w:rPr>
                <w:rFonts w:cs="Times New Roman"/>
                <w:color w:val="000000"/>
                <w:sz w:val="20"/>
                <w:szCs w:val="20"/>
              </w:rPr>
              <w:t>(0.0015902)</w:t>
            </w:r>
          </w:p>
        </w:tc>
        <w:tc>
          <w:tcPr>
            <w:tcW w:w="888" w:type="pct"/>
            <w:tcBorders>
              <w:top w:val="nil"/>
              <w:left w:val="nil"/>
              <w:bottom w:val="nil"/>
              <w:right w:val="nil"/>
            </w:tcBorders>
          </w:tcPr>
          <w:p w14:paraId="5E8E534E">
            <w:pPr>
              <w:pStyle w:val="22"/>
              <w:widowControl/>
              <w:autoSpaceDE w:val="0"/>
              <w:spacing w:before="100" w:beforeAutospacing="1"/>
              <w:rPr>
                <w:rFonts w:cs="Times New Roman"/>
                <w:color w:val="000000"/>
                <w:sz w:val="20"/>
                <w:szCs w:val="20"/>
              </w:rPr>
            </w:pPr>
            <w:r>
              <w:rPr>
                <w:rFonts w:cs="Times New Roman"/>
                <w:color w:val="000000"/>
                <w:sz w:val="20"/>
                <w:szCs w:val="20"/>
              </w:rPr>
              <w:t>(0.0063995)</w:t>
            </w:r>
          </w:p>
        </w:tc>
        <w:tc>
          <w:tcPr>
            <w:tcW w:w="898" w:type="pct"/>
            <w:tcBorders>
              <w:top w:val="nil"/>
              <w:left w:val="nil"/>
              <w:bottom w:val="nil"/>
              <w:right w:val="nil"/>
            </w:tcBorders>
          </w:tcPr>
          <w:p w14:paraId="151EC230">
            <w:pPr>
              <w:pStyle w:val="22"/>
              <w:widowControl/>
              <w:autoSpaceDE w:val="0"/>
              <w:spacing w:before="100" w:beforeAutospacing="1"/>
              <w:jc w:val="left"/>
              <w:rPr>
                <w:rFonts w:cs="Times New Roman"/>
                <w:color w:val="000000"/>
                <w:sz w:val="20"/>
                <w:szCs w:val="20"/>
              </w:rPr>
            </w:pPr>
            <w:r>
              <w:rPr>
                <w:rFonts w:cs="Times New Roman"/>
                <w:color w:val="000000"/>
                <w:sz w:val="20"/>
                <w:szCs w:val="20"/>
              </w:rPr>
              <w:t>(0.00336)</w:t>
            </w:r>
          </w:p>
        </w:tc>
        <w:tc>
          <w:tcPr>
            <w:tcW w:w="897" w:type="pct"/>
            <w:tcBorders>
              <w:top w:val="nil"/>
              <w:left w:val="nil"/>
              <w:bottom w:val="nil"/>
              <w:right w:val="nil"/>
            </w:tcBorders>
          </w:tcPr>
          <w:p w14:paraId="580C5FA9">
            <w:pPr>
              <w:pStyle w:val="22"/>
              <w:widowControl/>
              <w:autoSpaceDE w:val="0"/>
              <w:spacing w:before="100" w:beforeAutospacing="1"/>
              <w:jc w:val="left"/>
              <w:rPr>
                <w:rFonts w:cs="Times New Roman"/>
                <w:color w:val="000000"/>
                <w:sz w:val="20"/>
                <w:szCs w:val="20"/>
              </w:rPr>
            </w:pPr>
            <w:r>
              <w:rPr>
                <w:rFonts w:cs="Times New Roman"/>
                <w:color w:val="000000"/>
                <w:sz w:val="20"/>
                <w:szCs w:val="20"/>
              </w:rPr>
              <w:t>(0.0107384)</w:t>
            </w:r>
          </w:p>
        </w:tc>
      </w:tr>
      <w:tr w14:paraId="51025E95">
        <w:tc>
          <w:tcPr>
            <w:tcW w:w="747" w:type="pct"/>
            <w:tcBorders>
              <w:top w:val="nil"/>
              <w:left w:val="nil"/>
              <w:bottom w:val="nil"/>
              <w:right w:val="nil"/>
            </w:tcBorders>
          </w:tcPr>
          <w:p w14:paraId="4AF3F782">
            <w:pPr>
              <w:pStyle w:val="22"/>
              <w:widowControl/>
              <w:autoSpaceDE w:val="0"/>
              <w:spacing w:before="100" w:beforeAutospacing="1"/>
              <w:jc w:val="left"/>
              <w:rPr>
                <w:rFonts w:cs="Times New Roman"/>
                <w:b/>
                <w:color w:val="000000"/>
                <w:sz w:val="20"/>
                <w:szCs w:val="20"/>
              </w:rPr>
            </w:pPr>
            <w:r>
              <w:rPr>
                <w:rFonts w:cs="Times New Roman"/>
                <w:b/>
                <w:bCs w:val="0"/>
                <w:color w:val="000000"/>
                <w:sz w:val="20"/>
                <w:szCs w:val="20"/>
              </w:rPr>
              <w:t>GCF</w:t>
            </w:r>
          </w:p>
        </w:tc>
        <w:tc>
          <w:tcPr>
            <w:tcW w:w="831" w:type="pct"/>
            <w:tcBorders>
              <w:top w:val="nil"/>
              <w:left w:val="nil"/>
              <w:bottom w:val="nil"/>
              <w:right w:val="nil"/>
            </w:tcBorders>
          </w:tcPr>
          <w:p w14:paraId="0C6B0847">
            <w:pPr>
              <w:pStyle w:val="22"/>
              <w:widowControl/>
              <w:autoSpaceDE w:val="0"/>
              <w:spacing w:before="100" w:beforeAutospacing="1"/>
              <w:jc w:val="left"/>
              <w:rPr>
                <w:rFonts w:cs="Times New Roman"/>
                <w:bCs w:val="0"/>
                <w:color w:val="000000"/>
                <w:sz w:val="20"/>
                <w:szCs w:val="20"/>
              </w:rPr>
            </w:pPr>
            <w:r>
              <w:rPr>
                <w:rFonts w:cs="Times New Roman"/>
                <w:color w:val="000000"/>
                <w:sz w:val="20"/>
                <w:szCs w:val="20"/>
              </w:rPr>
              <w:t>-0.0046155</w:t>
            </w:r>
          </w:p>
        </w:tc>
        <w:tc>
          <w:tcPr>
            <w:tcW w:w="739" w:type="pct"/>
            <w:tcBorders>
              <w:top w:val="nil"/>
              <w:left w:val="nil"/>
              <w:bottom w:val="nil"/>
              <w:right w:val="nil"/>
            </w:tcBorders>
          </w:tcPr>
          <w:p w14:paraId="01293B4D">
            <w:pPr>
              <w:pStyle w:val="22"/>
              <w:widowControl/>
              <w:autoSpaceDE w:val="0"/>
              <w:spacing w:before="100" w:beforeAutospacing="1"/>
              <w:jc w:val="left"/>
              <w:rPr>
                <w:rFonts w:cs="Times New Roman"/>
                <w:color w:val="000000"/>
                <w:sz w:val="20"/>
                <w:szCs w:val="20"/>
              </w:rPr>
            </w:pPr>
            <w:r>
              <w:rPr>
                <w:rFonts w:cs="Times New Roman"/>
                <w:color w:val="000000"/>
                <w:sz w:val="20"/>
                <w:szCs w:val="20"/>
              </w:rPr>
              <w:t>-0.0233548</w:t>
            </w:r>
          </w:p>
        </w:tc>
        <w:tc>
          <w:tcPr>
            <w:tcW w:w="888" w:type="pct"/>
            <w:tcBorders>
              <w:top w:val="nil"/>
              <w:left w:val="nil"/>
              <w:bottom w:val="nil"/>
              <w:right w:val="nil"/>
            </w:tcBorders>
          </w:tcPr>
          <w:p w14:paraId="25D4B298">
            <w:pPr>
              <w:pStyle w:val="22"/>
              <w:widowControl/>
              <w:autoSpaceDE w:val="0"/>
              <w:spacing w:before="100" w:beforeAutospacing="1"/>
              <w:rPr>
                <w:rFonts w:cs="Times New Roman"/>
                <w:color w:val="000000"/>
                <w:sz w:val="20"/>
                <w:szCs w:val="20"/>
              </w:rPr>
            </w:pPr>
            <w:r>
              <w:rPr>
                <w:rFonts w:cs="Times New Roman"/>
                <w:color w:val="000000"/>
                <w:sz w:val="20"/>
                <w:szCs w:val="20"/>
              </w:rPr>
              <w:t>-0.4303874***</w:t>
            </w:r>
          </w:p>
        </w:tc>
        <w:tc>
          <w:tcPr>
            <w:tcW w:w="898" w:type="pct"/>
            <w:tcBorders>
              <w:top w:val="nil"/>
              <w:left w:val="nil"/>
              <w:bottom w:val="nil"/>
              <w:right w:val="nil"/>
            </w:tcBorders>
          </w:tcPr>
          <w:p w14:paraId="6BD43ED8">
            <w:pPr>
              <w:pStyle w:val="22"/>
              <w:widowControl/>
              <w:autoSpaceDE w:val="0"/>
              <w:spacing w:before="100" w:beforeAutospacing="1"/>
              <w:jc w:val="left"/>
              <w:rPr>
                <w:rFonts w:cs="Times New Roman"/>
                <w:color w:val="000000"/>
                <w:sz w:val="20"/>
                <w:szCs w:val="20"/>
              </w:rPr>
            </w:pPr>
            <w:r>
              <w:rPr>
                <w:rFonts w:cs="Times New Roman"/>
                <w:color w:val="000000"/>
                <w:sz w:val="20"/>
                <w:szCs w:val="20"/>
              </w:rPr>
              <w:t>0.0557929*</w:t>
            </w:r>
          </w:p>
        </w:tc>
        <w:tc>
          <w:tcPr>
            <w:tcW w:w="897" w:type="pct"/>
            <w:tcBorders>
              <w:top w:val="nil"/>
              <w:left w:val="nil"/>
              <w:bottom w:val="nil"/>
              <w:right w:val="nil"/>
            </w:tcBorders>
          </w:tcPr>
          <w:p w14:paraId="487BD0B4">
            <w:pPr>
              <w:pStyle w:val="22"/>
              <w:widowControl/>
              <w:autoSpaceDE w:val="0"/>
              <w:spacing w:before="100" w:beforeAutospacing="1"/>
              <w:jc w:val="left"/>
              <w:rPr>
                <w:rFonts w:cs="Times New Roman"/>
                <w:color w:val="000000"/>
                <w:sz w:val="20"/>
                <w:szCs w:val="20"/>
              </w:rPr>
            </w:pPr>
            <w:r>
              <w:rPr>
                <w:rFonts w:cs="Times New Roman"/>
                <w:color w:val="000000"/>
                <w:sz w:val="20"/>
                <w:szCs w:val="20"/>
              </w:rPr>
              <w:t>-0.4186073***</w:t>
            </w:r>
          </w:p>
        </w:tc>
      </w:tr>
      <w:tr w14:paraId="1E75A505">
        <w:tc>
          <w:tcPr>
            <w:tcW w:w="747" w:type="pct"/>
            <w:tcBorders>
              <w:top w:val="nil"/>
              <w:left w:val="nil"/>
              <w:bottom w:val="nil"/>
              <w:right w:val="nil"/>
            </w:tcBorders>
          </w:tcPr>
          <w:p w14:paraId="62F3681F">
            <w:pPr>
              <w:pStyle w:val="22"/>
              <w:widowControl/>
              <w:autoSpaceDE w:val="0"/>
              <w:spacing w:before="100" w:beforeAutospacing="1"/>
              <w:jc w:val="left"/>
              <w:rPr>
                <w:rFonts w:cs="Times New Roman"/>
                <w:color w:val="000000"/>
                <w:sz w:val="20"/>
                <w:szCs w:val="20"/>
              </w:rPr>
            </w:pPr>
          </w:p>
        </w:tc>
        <w:tc>
          <w:tcPr>
            <w:tcW w:w="831" w:type="pct"/>
            <w:tcBorders>
              <w:top w:val="nil"/>
              <w:left w:val="nil"/>
              <w:bottom w:val="nil"/>
              <w:right w:val="nil"/>
            </w:tcBorders>
          </w:tcPr>
          <w:p w14:paraId="2EEE5FFA">
            <w:pPr>
              <w:pStyle w:val="22"/>
              <w:widowControl/>
              <w:autoSpaceDE w:val="0"/>
              <w:spacing w:before="100" w:beforeAutospacing="1"/>
              <w:jc w:val="left"/>
              <w:rPr>
                <w:rFonts w:cs="Times New Roman"/>
                <w:color w:val="000000"/>
                <w:sz w:val="20"/>
                <w:szCs w:val="20"/>
              </w:rPr>
            </w:pPr>
            <w:r>
              <w:rPr>
                <w:rFonts w:cs="Times New Roman"/>
                <w:color w:val="000000"/>
                <w:sz w:val="20"/>
                <w:szCs w:val="20"/>
              </w:rPr>
              <w:t>(0.0696775)</w:t>
            </w:r>
          </w:p>
        </w:tc>
        <w:tc>
          <w:tcPr>
            <w:tcW w:w="739" w:type="pct"/>
            <w:tcBorders>
              <w:top w:val="nil"/>
              <w:left w:val="nil"/>
              <w:bottom w:val="nil"/>
              <w:right w:val="nil"/>
            </w:tcBorders>
          </w:tcPr>
          <w:p w14:paraId="09E4D72F">
            <w:pPr>
              <w:pStyle w:val="22"/>
              <w:widowControl/>
              <w:autoSpaceDE w:val="0"/>
              <w:spacing w:before="100" w:beforeAutospacing="1"/>
              <w:jc w:val="left"/>
              <w:rPr>
                <w:rFonts w:cs="Times New Roman"/>
                <w:color w:val="000000"/>
                <w:sz w:val="20"/>
                <w:szCs w:val="20"/>
              </w:rPr>
            </w:pPr>
            <w:r>
              <w:rPr>
                <w:rFonts w:cs="Times New Roman"/>
                <w:color w:val="000000"/>
                <w:sz w:val="20"/>
                <w:szCs w:val="20"/>
              </w:rPr>
              <w:t>(0.0284648)</w:t>
            </w:r>
          </w:p>
        </w:tc>
        <w:tc>
          <w:tcPr>
            <w:tcW w:w="888" w:type="pct"/>
            <w:tcBorders>
              <w:top w:val="nil"/>
              <w:left w:val="nil"/>
              <w:bottom w:val="nil"/>
              <w:right w:val="nil"/>
            </w:tcBorders>
          </w:tcPr>
          <w:p w14:paraId="2B1FE5FD">
            <w:pPr>
              <w:pStyle w:val="22"/>
              <w:widowControl/>
              <w:autoSpaceDE w:val="0"/>
              <w:spacing w:before="100" w:beforeAutospacing="1"/>
              <w:rPr>
                <w:rFonts w:cs="Times New Roman"/>
                <w:color w:val="000000"/>
                <w:sz w:val="20"/>
                <w:szCs w:val="20"/>
              </w:rPr>
            </w:pPr>
            <w:r>
              <w:rPr>
                <w:rFonts w:cs="Times New Roman"/>
                <w:color w:val="000000"/>
                <w:sz w:val="20"/>
                <w:szCs w:val="20"/>
              </w:rPr>
              <w:t>(0.1261336)</w:t>
            </w:r>
          </w:p>
        </w:tc>
        <w:tc>
          <w:tcPr>
            <w:tcW w:w="898" w:type="pct"/>
            <w:tcBorders>
              <w:top w:val="nil"/>
              <w:left w:val="nil"/>
              <w:bottom w:val="nil"/>
              <w:right w:val="nil"/>
            </w:tcBorders>
          </w:tcPr>
          <w:p w14:paraId="01C6F26E">
            <w:pPr>
              <w:pStyle w:val="22"/>
              <w:widowControl/>
              <w:autoSpaceDE w:val="0"/>
              <w:spacing w:before="100" w:beforeAutospacing="1"/>
              <w:jc w:val="left"/>
              <w:rPr>
                <w:rFonts w:cs="Times New Roman"/>
                <w:color w:val="000000"/>
                <w:sz w:val="20"/>
                <w:szCs w:val="20"/>
              </w:rPr>
            </w:pPr>
            <w:r>
              <w:rPr>
                <w:rFonts w:cs="Times New Roman"/>
                <w:color w:val="000000"/>
                <w:sz w:val="20"/>
                <w:szCs w:val="20"/>
              </w:rPr>
              <w:t>(0.0259765)</w:t>
            </w:r>
          </w:p>
        </w:tc>
        <w:tc>
          <w:tcPr>
            <w:tcW w:w="897" w:type="pct"/>
            <w:tcBorders>
              <w:top w:val="nil"/>
              <w:left w:val="nil"/>
              <w:bottom w:val="nil"/>
              <w:right w:val="nil"/>
            </w:tcBorders>
          </w:tcPr>
          <w:p w14:paraId="484F1F6E">
            <w:pPr>
              <w:pStyle w:val="22"/>
              <w:widowControl/>
              <w:autoSpaceDE w:val="0"/>
              <w:spacing w:before="100" w:beforeAutospacing="1"/>
              <w:jc w:val="left"/>
              <w:rPr>
                <w:rFonts w:cs="Times New Roman"/>
                <w:color w:val="000000"/>
                <w:sz w:val="20"/>
                <w:szCs w:val="20"/>
              </w:rPr>
            </w:pPr>
            <w:r>
              <w:rPr>
                <w:rFonts w:cs="Times New Roman"/>
                <w:color w:val="000000"/>
                <w:sz w:val="20"/>
                <w:szCs w:val="20"/>
              </w:rPr>
              <w:t>(0.1359236)</w:t>
            </w:r>
          </w:p>
        </w:tc>
      </w:tr>
      <w:tr w14:paraId="441A831B">
        <w:tc>
          <w:tcPr>
            <w:tcW w:w="747" w:type="pct"/>
            <w:tcBorders>
              <w:top w:val="nil"/>
              <w:left w:val="nil"/>
              <w:bottom w:val="nil"/>
              <w:right w:val="nil"/>
            </w:tcBorders>
          </w:tcPr>
          <w:p w14:paraId="22486412">
            <w:pPr>
              <w:pStyle w:val="22"/>
              <w:widowControl/>
              <w:autoSpaceDE w:val="0"/>
              <w:spacing w:before="100" w:beforeAutospacing="1"/>
              <w:jc w:val="left"/>
              <w:rPr>
                <w:rFonts w:cs="Times New Roman"/>
                <w:color w:val="000000"/>
                <w:sz w:val="20"/>
                <w:szCs w:val="20"/>
              </w:rPr>
            </w:pPr>
            <w:r>
              <w:rPr>
                <w:rFonts w:cs="Times New Roman"/>
                <w:color w:val="000000"/>
                <w:sz w:val="20"/>
                <w:szCs w:val="20"/>
              </w:rPr>
              <w:t>TRADE</w:t>
            </w:r>
          </w:p>
        </w:tc>
        <w:tc>
          <w:tcPr>
            <w:tcW w:w="831" w:type="pct"/>
            <w:tcBorders>
              <w:top w:val="nil"/>
              <w:left w:val="nil"/>
              <w:bottom w:val="nil"/>
              <w:right w:val="nil"/>
            </w:tcBorders>
          </w:tcPr>
          <w:p w14:paraId="4E33C34E">
            <w:pPr>
              <w:pStyle w:val="22"/>
              <w:widowControl/>
              <w:autoSpaceDE w:val="0"/>
              <w:spacing w:before="100" w:beforeAutospacing="1"/>
              <w:jc w:val="left"/>
              <w:rPr>
                <w:rFonts w:cs="Times New Roman"/>
                <w:color w:val="000000"/>
                <w:sz w:val="20"/>
                <w:szCs w:val="20"/>
              </w:rPr>
            </w:pPr>
            <w:r>
              <w:rPr>
                <w:rFonts w:cs="Times New Roman"/>
                <w:color w:val="000000"/>
                <w:sz w:val="20"/>
                <w:szCs w:val="20"/>
              </w:rPr>
              <w:t>-0.0272271</w:t>
            </w:r>
          </w:p>
        </w:tc>
        <w:tc>
          <w:tcPr>
            <w:tcW w:w="739" w:type="pct"/>
            <w:tcBorders>
              <w:top w:val="nil"/>
              <w:left w:val="nil"/>
              <w:bottom w:val="nil"/>
              <w:right w:val="nil"/>
            </w:tcBorders>
          </w:tcPr>
          <w:p w14:paraId="32D86D17">
            <w:pPr>
              <w:pStyle w:val="22"/>
              <w:widowControl/>
              <w:autoSpaceDE w:val="0"/>
              <w:spacing w:before="100" w:beforeAutospacing="1"/>
              <w:jc w:val="left"/>
              <w:rPr>
                <w:rFonts w:cs="Times New Roman"/>
                <w:color w:val="000000"/>
                <w:sz w:val="20"/>
                <w:szCs w:val="20"/>
              </w:rPr>
            </w:pPr>
            <w:r>
              <w:rPr>
                <w:rFonts w:cs="Times New Roman"/>
                <w:color w:val="000000"/>
                <w:sz w:val="20"/>
                <w:szCs w:val="20"/>
              </w:rPr>
              <w:t>0.0188074*</w:t>
            </w:r>
          </w:p>
        </w:tc>
        <w:tc>
          <w:tcPr>
            <w:tcW w:w="888" w:type="pct"/>
            <w:tcBorders>
              <w:top w:val="nil"/>
              <w:left w:val="nil"/>
              <w:bottom w:val="nil"/>
              <w:right w:val="nil"/>
            </w:tcBorders>
          </w:tcPr>
          <w:p w14:paraId="33DDD875">
            <w:pPr>
              <w:pStyle w:val="22"/>
              <w:widowControl/>
              <w:autoSpaceDE w:val="0"/>
              <w:spacing w:before="100" w:beforeAutospacing="1"/>
              <w:rPr>
                <w:rFonts w:cs="Times New Roman"/>
                <w:color w:val="000000"/>
                <w:sz w:val="20"/>
                <w:szCs w:val="20"/>
              </w:rPr>
            </w:pPr>
            <w:r>
              <w:rPr>
                <w:rFonts w:cs="Times New Roman"/>
                <w:color w:val="000000"/>
                <w:sz w:val="20"/>
                <w:szCs w:val="20"/>
              </w:rPr>
              <w:t>-0.1031368**</w:t>
            </w:r>
          </w:p>
        </w:tc>
        <w:tc>
          <w:tcPr>
            <w:tcW w:w="898" w:type="pct"/>
            <w:tcBorders>
              <w:top w:val="nil"/>
              <w:left w:val="nil"/>
              <w:bottom w:val="nil"/>
              <w:right w:val="nil"/>
            </w:tcBorders>
          </w:tcPr>
          <w:p w14:paraId="60C5D6D2">
            <w:pPr>
              <w:pStyle w:val="22"/>
              <w:widowControl/>
              <w:autoSpaceDE w:val="0"/>
              <w:spacing w:before="100" w:beforeAutospacing="1"/>
              <w:jc w:val="left"/>
              <w:rPr>
                <w:rFonts w:cs="Times New Roman"/>
                <w:color w:val="000000"/>
                <w:sz w:val="20"/>
                <w:szCs w:val="20"/>
              </w:rPr>
            </w:pPr>
            <w:r>
              <w:rPr>
                <w:rFonts w:cs="Times New Roman"/>
                <w:color w:val="000000"/>
                <w:sz w:val="20"/>
                <w:szCs w:val="20"/>
              </w:rPr>
              <w:t>0.0141605</w:t>
            </w:r>
          </w:p>
        </w:tc>
        <w:tc>
          <w:tcPr>
            <w:tcW w:w="897" w:type="pct"/>
            <w:tcBorders>
              <w:top w:val="nil"/>
              <w:left w:val="nil"/>
              <w:bottom w:val="nil"/>
              <w:right w:val="nil"/>
            </w:tcBorders>
          </w:tcPr>
          <w:p w14:paraId="20CF19B9">
            <w:pPr>
              <w:pStyle w:val="22"/>
              <w:widowControl/>
              <w:autoSpaceDE w:val="0"/>
              <w:spacing w:before="100" w:beforeAutospacing="1"/>
              <w:jc w:val="left"/>
              <w:rPr>
                <w:rFonts w:cs="Times New Roman"/>
                <w:color w:val="000000"/>
                <w:sz w:val="20"/>
                <w:szCs w:val="20"/>
              </w:rPr>
            </w:pPr>
            <w:r>
              <w:rPr>
                <w:rFonts w:cs="Times New Roman"/>
                <w:color w:val="000000"/>
                <w:sz w:val="20"/>
                <w:szCs w:val="20"/>
              </w:rPr>
              <w:t>-0.024998</w:t>
            </w:r>
          </w:p>
        </w:tc>
      </w:tr>
      <w:tr w14:paraId="0ECBA74E">
        <w:tc>
          <w:tcPr>
            <w:tcW w:w="747" w:type="pct"/>
            <w:tcBorders>
              <w:top w:val="nil"/>
              <w:left w:val="nil"/>
              <w:bottom w:val="nil"/>
              <w:right w:val="nil"/>
            </w:tcBorders>
          </w:tcPr>
          <w:p w14:paraId="482485CA">
            <w:pPr>
              <w:pStyle w:val="22"/>
              <w:widowControl/>
              <w:autoSpaceDE w:val="0"/>
              <w:spacing w:before="100" w:beforeAutospacing="1"/>
              <w:jc w:val="left"/>
              <w:rPr>
                <w:rFonts w:cs="Times New Roman"/>
                <w:color w:val="000000"/>
                <w:sz w:val="20"/>
                <w:szCs w:val="20"/>
              </w:rPr>
            </w:pPr>
          </w:p>
        </w:tc>
        <w:tc>
          <w:tcPr>
            <w:tcW w:w="831" w:type="pct"/>
            <w:tcBorders>
              <w:top w:val="nil"/>
              <w:left w:val="nil"/>
              <w:bottom w:val="nil"/>
              <w:right w:val="nil"/>
            </w:tcBorders>
          </w:tcPr>
          <w:p w14:paraId="3C2D6E33">
            <w:pPr>
              <w:pStyle w:val="22"/>
              <w:widowControl/>
              <w:autoSpaceDE w:val="0"/>
              <w:spacing w:before="100" w:beforeAutospacing="1"/>
              <w:jc w:val="left"/>
              <w:rPr>
                <w:rFonts w:cs="Times New Roman"/>
                <w:color w:val="000000"/>
                <w:sz w:val="20"/>
                <w:szCs w:val="20"/>
              </w:rPr>
            </w:pPr>
            <w:r>
              <w:rPr>
                <w:rFonts w:cs="Times New Roman"/>
                <w:color w:val="000000"/>
                <w:sz w:val="20"/>
                <w:szCs w:val="20"/>
              </w:rPr>
              <w:t>(.0313445)</w:t>
            </w:r>
          </w:p>
        </w:tc>
        <w:tc>
          <w:tcPr>
            <w:tcW w:w="739" w:type="pct"/>
            <w:tcBorders>
              <w:top w:val="nil"/>
              <w:left w:val="nil"/>
              <w:bottom w:val="nil"/>
              <w:right w:val="nil"/>
            </w:tcBorders>
          </w:tcPr>
          <w:p w14:paraId="35E96FDF">
            <w:pPr>
              <w:pStyle w:val="22"/>
              <w:widowControl/>
              <w:autoSpaceDE w:val="0"/>
              <w:spacing w:before="100" w:beforeAutospacing="1"/>
              <w:jc w:val="left"/>
              <w:rPr>
                <w:rFonts w:cs="Times New Roman"/>
                <w:color w:val="000000"/>
                <w:sz w:val="20"/>
                <w:szCs w:val="20"/>
              </w:rPr>
            </w:pPr>
            <w:r>
              <w:rPr>
                <w:rFonts w:cs="Times New Roman"/>
                <w:color w:val="000000"/>
                <w:sz w:val="20"/>
                <w:szCs w:val="20"/>
              </w:rPr>
              <w:t>(0.0099911)</w:t>
            </w:r>
          </w:p>
        </w:tc>
        <w:tc>
          <w:tcPr>
            <w:tcW w:w="888" w:type="pct"/>
            <w:tcBorders>
              <w:top w:val="nil"/>
              <w:left w:val="nil"/>
              <w:bottom w:val="nil"/>
              <w:right w:val="nil"/>
            </w:tcBorders>
          </w:tcPr>
          <w:p w14:paraId="57759394">
            <w:pPr>
              <w:pStyle w:val="22"/>
              <w:widowControl/>
              <w:autoSpaceDE w:val="0"/>
              <w:spacing w:before="100" w:beforeAutospacing="1"/>
              <w:rPr>
                <w:rFonts w:cs="Times New Roman"/>
                <w:color w:val="000000"/>
                <w:sz w:val="20"/>
                <w:szCs w:val="20"/>
              </w:rPr>
            </w:pPr>
            <w:r>
              <w:rPr>
                <w:rFonts w:cs="Times New Roman"/>
                <w:color w:val="000000"/>
                <w:sz w:val="20"/>
                <w:szCs w:val="20"/>
              </w:rPr>
              <w:t>(0.0452514)</w:t>
            </w:r>
          </w:p>
        </w:tc>
        <w:tc>
          <w:tcPr>
            <w:tcW w:w="898" w:type="pct"/>
            <w:tcBorders>
              <w:top w:val="nil"/>
              <w:left w:val="nil"/>
              <w:bottom w:val="nil"/>
              <w:right w:val="nil"/>
            </w:tcBorders>
          </w:tcPr>
          <w:p w14:paraId="54AB7F3D">
            <w:pPr>
              <w:pStyle w:val="22"/>
              <w:widowControl/>
              <w:autoSpaceDE w:val="0"/>
              <w:spacing w:before="100" w:beforeAutospacing="1"/>
              <w:jc w:val="left"/>
              <w:rPr>
                <w:rFonts w:cs="Times New Roman"/>
                <w:color w:val="000000"/>
                <w:sz w:val="20"/>
                <w:szCs w:val="20"/>
              </w:rPr>
            </w:pPr>
            <w:r>
              <w:rPr>
                <w:rFonts w:cs="Times New Roman"/>
                <w:color w:val="000000"/>
                <w:sz w:val="20"/>
                <w:szCs w:val="20"/>
              </w:rPr>
              <w:t>(0.0090192)</w:t>
            </w:r>
          </w:p>
        </w:tc>
        <w:tc>
          <w:tcPr>
            <w:tcW w:w="897" w:type="pct"/>
            <w:tcBorders>
              <w:top w:val="nil"/>
              <w:left w:val="nil"/>
              <w:bottom w:val="nil"/>
              <w:right w:val="nil"/>
            </w:tcBorders>
          </w:tcPr>
          <w:p w14:paraId="523D2545">
            <w:pPr>
              <w:pStyle w:val="22"/>
              <w:widowControl/>
              <w:autoSpaceDE w:val="0"/>
              <w:spacing w:before="100" w:beforeAutospacing="1"/>
              <w:jc w:val="left"/>
              <w:rPr>
                <w:rFonts w:cs="Times New Roman"/>
                <w:color w:val="000000"/>
                <w:sz w:val="20"/>
                <w:szCs w:val="20"/>
              </w:rPr>
            </w:pPr>
            <w:r>
              <w:rPr>
                <w:rFonts w:cs="Times New Roman"/>
                <w:color w:val="000000"/>
                <w:sz w:val="20"/>
                <w:szCs w:val="20"/>
              </w:rPr>
              <w:t>(0.0245052)</w:t>
            </w:r>
          </w:p>
        </w:tc>
      </w:tr>
      <w:tr w14:paraId="0E4CF9BD">
        <w:trPr>
          <w:trHeight w:val="90" w:hRule="atLeast"/>
        </w:trPr>
        <w:tc>
          <w:tcPr>
            <w:tcW w:w="747" w:type="pct"/>
            <w:tcBorders>
              <w:top w:val="nil"/>
              <w:left w:val="nil"/>
              <w:bottom w:val="nil"/>
              <w:right w:val="nil"/>
            </w:tcBorders>
          </w:tcPr>
          <w:p w14:paraId="35DE09A4">
            <w:pPr>
              <w:pStyle w:val="22"/>
              <w:widowControl/>
              <w:autoSpaceDE w:val="0"/>
              <w:spacing w:before="100" w:beforeAutospacing="1"/>
              <w:jc w:val="left"/>
              <w:rPr>
                <w:rFonts w:cs="Times New Roman"/>
                <w:color w:val="000000"/>
                <w:sz w:val="20"/>
                <w:szCs w:val="20"/>
              </w:rPr>
            </w:pPr>
            <w:r>
              <w:rPr>
                <w:rFonts w:cs="Times New Roman"/>
                <w:color w:val="000000"/>
                <w:sz w:val="20"/>
                <w:szCs w:val="20"/>
              </w:rPr>
              <w:t>POP</w:t>
            </w:r>
          </w:p>
        </w:tc>
        <w:tc>
          <w:tcPr>
            <w:tcW w:w="831" w:type="pct"/>
            <w:tcBorders>
              <w:top w:val="nil"/>
              <w:left w:val="nil"/>
              <w:bottom w:val="nil"/>
              <w:right w:val="nil"/>
            </w:tcBorders>
          </w:tcPr>
          <w:p w14:paraId="2224BC29">
            <w:pPr>
              <w:pStyle w:val="22"/>
              <w:widowControl/>
              <w:autoSpaceDE w:val="0"/>
              <w:spacing w:before="100" w:beforeAutospacing="1"/>
              <w:jc w:val="left"/>
              <w:rPr>
                <w:rFonts w:cs="Times New Roman"/>
                <w:color w:val="000000"/>
                <w:sz w:val="20"/>
                <w:szCs w:val="20"/>
              </w:rPr>
            </w:pPr>
            <w:r>
              <w:rPr>
                <w:rFonts w:cs="Times New Roman"/>
                <w:color w:val="000000"/>
                <w:sz w:val="20"/>
                <w:szCs w:val="20"/>
              </w:rPr>
              <w:t>-1.00462</w:t>
            </w:r>
          </w:p>
        </w:tc>
        <w:tc>
          <w:tcPr>
            <w:tcW w:w="739" w:type="pct"/>
            <w:tcBorders>
              <w:top w:val="nil"/>
              <w:left w:val="nil"/>
              <w:bottom w:val="nil"/>
              <w:right w:val="nil"/>
            </w:tcBorders>
          </w:tcPr>
          <w:p w14:paraId="765333BA">
            <w:pPr>
              <w:pStyle w:val="22"/>
              <w:widowControl/>
              <w:autoSpaceDE w:val="0"/>
              <w:spacing w:before="100" w:beforeAutospacing="1"/>
              <w:jc w:val="left"/>
              <w:rPr>
                <w:rFonts w:cs="Times New Roman"/>
                <w:color w:val="000000"/>
                <w:sz w:val="20"/>
                <w:szCs w:val="20"/>
              </w:rPr>
            </w:pPr>
            <w:r>
              <w:rPr>
                <w:rFonts w:cs="Times New Roman"/>
                <w:color w:val="000000"/>
                <w:sz w:val="20"/>
                <w:szCs w:val="20"/>
              </w:rPr>
              <w:t>0.2362844</w:t>
            </w:r>
          </w:p>
        </w:tc>
        <w:tc>
          <w:tcPr>
            <w:tcW w:w="888" w:type="pct"/>
            <w:tcBorders>
              <w:top w:val="nil"/>
              <w:left w:val="nil"/>
              <w:bottom w:val="nil"/>
              <w:right w:val="nil"/>
            </w:tcBorders>
          </w:tcPr>
          <w:p w14:paraId="70F467AB">
            <w:pPr>
              <w:pStyle w:val="22"/>
              <w:widowControl/>
              <w:autoSpaceDE w:val="0"/>
              <w:spacing w:before="100" w:beforeAutospacing="1"/>
              <w:rPr>
                <w:rFonts w:cs="Times New Roman"/>
                <w:color w:val="000000"/>
                <w:sz w:val="20"/>
                <w:szCs w:val="20"/>
              </w:rPr>
            </w:pPr>
            <w:r>
              <w:rPr>
                <w:rFonts w:cs="Times New Roman"/>
                <w:color w:val="000000"/>
                <w:sz w:val="20"/>
                <w:szCs w:val="20"/>
              </w:rPr>
              <w:t>0.2616458</w:t>
            </w:r>
          </w:p>
        </w:tc>
        <w:tc>
          <w:tcPr>
            <w:tcW w:w="898" w:type="pct"/>
            <w:tcBorders>
              <w:top w:val="nil"/>
              <w:left w:val="nil"/>
              <w:bottom w:val="nil"/>
              <w:right w:val="nil"/>
            </w:tcBorders>
          </w:tcPr>
          <w:p w14:paraId="6B3A0A1F">
            <w:pPr>
              <w:pStyle w:val="22"/>
              <w:widowControl/>
              <w:autoSpaceDE w:val="0"/>
              <w:spacing w:before="100" w:beforeAutospacing="1"/>
              <w:jc w:val="left"/>
              <w:rPr>
                <w:rFonts w:cs="Times New Roman"/>
                <w:color w:val="000000"/>
                <w:sz w:val="20"/>
                <w:szCs w:val="20"/>
              </w:rPr>
            </w:pPr>
            <w:r>
              <w:rPr>
                <w:rFonts w:cs="Times New Roman"/>
                <w:color w:val="000000"/>
                <w:sz w:val="20"/>
                <w:szCs w:val="20"/>
              </w:rPr>
              <w:t>0.2845727</w:t>
            </w:r>
          </w:p>
        </w:tc>
        <w:tc>
          <w:tcPr>
            <w:tcW w:w="897" w:type="pct"/>
            <w:tcBorders>
              <w:top w:val="nil"/>
              <w:left w:val="nil"/>
              <w:bottom w:val="nil"/>
              <w:right w:val="nil"/>
            </w:tcBorders>
          </w:tcPr>
          <w:p w14:paraId="2CA342F8">
            <w:pPr>
              <w:pStyle w:val="22"/>
              <w:widowControl/>
              <w:autoSpaceDE w:val="0"/>
              <w:spacing w:before="100" w:beforeAutospacing="1"/>
              <w:jc w:val="left"/>
              <w:rPr>
                <w:rFonts w:cs="Times New Roman"/>
                <w:color w:val="000000"/>
                <w:sz w:val="20"/>
                <w:szCs w:val="20"/>
              </w:rPr>
            </w:pPr>
            <w:r>
              <w:rPr>
                <w:rFonts w:cs="Times New Roman"/>
                <w:color w:val="000000"/>
                <w:sz w:val="20"/>
                <w:szCs w:val="20"/>
              </w:rPr>
              <w:t>1.878004</w:t>
            </w:r>
          </w:p>
        </w:tc>
      </w:tr>
      <w:tr w14:paraId="1BAFEF52">
        <w:tc>
          <w:tcPr>
            <w:tcW w:w="747" w:type="pct"/>
            <w:tcBorders>
              <w:top w:val="nil"/>
              <w:left w:val="nil"/>
              <w:bottom w:val="nil"/>
              <w:right w:val="nil"/>
            </w:tcBorders>
          </w:tcPr>
          <w:p w14:paraId="3A1592BD">
            <w:pPr>
              <w:pStyle w:val="22"/>
              <w:widowControl/>
              <w:autoSpaceDE w:val="0"/>
              <w:spacing w:before="100" w:beforeAutospacing="1"/>
              <w:jc w:val="left"/>
              <w:rPr>
                <w:rFonts w:cs="Times New Roman"/>
                <w:color w:val="000000"/>
                <w:sz w:val="20"/>
                <w:szCs w:val="20"/>
              </w:rPr>
            </w:pPr>
          </w:p>
        </w:tc>
        <w:tc>
          <w:tcPr>
            <w:tcW w:w="831" w:type="pct"/>
            <w:tcBorders>
              <w:top w:val="nil"/>
              <w:left w:val="nil"/>
              <w:bottom w:val="nil"/>
              <w:right w:val="nil"/>
            </w:tcBorders>
          </w:tcPr>
          <w:p w14:paraId="68AB36A6">
            <w:pPr>
              <w:pStyle w:val="22"/>
              <w:widowControl/>
              <w:autoSpaceDE w:val="0"/>
              <w:spacing w:before="100" w:beforeAutospacing="1"/>
              <w:jc w:val="left"/>
              <w:rPr>
                <w:rFonts w:cs="Times New Roman"/>
                <w:color w:val="000000"/>
                <w:sz w:val="20"/>
                <w:szCs w:val="20"/>
              </w:rPr>
            </w:pPr>
            <w:r>
              <w:rPr>
                <w:rFonts w:cs="Times New Roman"/>
                <w:color w:val="000000"/>
                <w:sz w:val="20"/>
                <w:szCs w:val="20"/>
              </w:rPr>
              <w:t>(0.8388735)</w:t>
            </w:r>
          </w:p>
        </w:tc>
        <w:tc>
          <w:tcPr>
            <w:tcW w:w="739" w:type="pct"/>
            <w:tcBorders>
              <w:top w:val="nil"/>
              <w:left w:val="nil"/>
              <w:bottom w:val="nil"/>
              <w:right w:val="nil"/>
            </w:tcBorders>
          </w:tcPr>
          <w:p w14:paraId="0B5C5DEB">
            <w:pPr>
              <w:pStyle w:val="22"/>
              <w:widowControl/>
              <w:autoSpaceDE w:val="0"/>
              <w:spacing w:before="100" w:beforeAutospacing="1"/>
              <w:jc w:val="left"/>
              <w:rPr>
                <w:rFonts w:cs="Times New Roman"/>
                <w:color w:val="000000"/>
                <w:sz w:val="20"/>
                <w:szCs w:val="20"/>
              </w:rPr>
            </w:pPr>
            <w:r>
              <w:rPr>
                <w:rFonts w:cs="Times New Roman"/>
                <w:color w:val="000000"/>
                <w:sz w:val="20"/>
                <w:szCs w:val="20"/>
              </w:rPr>
              <w:t>(0.2088539)</w:t>
            </w:r>
          </w:p>
        </w:tc>
        <w:tc>
          <w:tcPr>
            <w:tcW w:w="888" w:type="pct"/>
            <w:tcBorders>
              <w:top w:val="nil"/>
              <w:left w:val="nil"/>
              <w:bottom w:val="nil"/>
              <w:right w:val="nil"/>
            </w:tcBorders>
          </w:tcPr>
          <w:p w14:paraId="718BAB27">
            <w:pPr>
              <w:pStyle w:val="22"/>
              <w:widowControl/>
              <w:autoSpaceDE w:val="0"/>
              <w:spacing w:before="100" w:beforeAutospacing="1"/>
              <w:rPr>
                <w:rFonts w:cs="Times New Roman"/>
                <w:color w:val="000000"/>
                <w:sz w:val="20"/>
                <w:szCs w:val="20"/>
              </w:rPr>
            </w:pPr>
            <w:r>
              <w:rPr>
                <w:rFonts w:cs="Times New Roman"/>
                <w:color w:val="000000"/>
                <w:sz w:val="20"/>
                <w:szCs w:val="20"/>
              </w:rPr>
              <w:t>(1.033561)</w:t>
            </w:r>
          </w:p>
        </w:tc>
        <w:tc>
          <w:tcPr>
            <w:tcW w:w="898" w:type="pct"/>
            <w:tcBorders>
              <w:top w:val="nil"/>
              <w:left w:val="nil"/>
              <w:bottom w:val="nil"/>
              <w:right w:val="nil"/>
            </w:tcBorders>
          </w:tcPr>
          <w:p w14:paraId="1631EC82">
            <w:pPr>
              <w:pStyle w:val="22"/>
              <w:widowControl/>
              <w:autoSpaceDE w:val="0"/>
              <w:spacing w:before="100" w:beforeAutospacing="1"/>
              <w:jc w:val="left"/>
              <w:rPr>
                <w:rFonts w:cs="Times New Roman"/>
                <w:color w:val="000000"/>
                <w:sz w:val="20"/>
                <w:szCs w:val="20"/>
              </w:rPr>
            </w:pPr>
            <w:r>
              <w:rPr>
                <w:rFonts w:cs="Times New Roman"/>
                <w:color w:val="000000"/>
                <w:sz w:val="20"/>
                <w:szCs w:val="20"/>
              </w:rPr>
              <w:t>(0.4601814)</w:t>
            </w:r>
          </w:p>
        </w:tc>
        <w:tc>
          <w:tcPr>
            <w:tcW w:w="897" w:type="pct"/>
            <w:tcBorders>
              <w:top w:val="nil"/>
              <w:left w:val="nil"/>
              <w:bottom w:val="nil"/>
              <w:right w:val="nil"/>
            </w:tcBorders>
          </w:tcPr>
          <w:p w14:paraId="144AFBF0">
            <w:pPr>
              <w:pStyle w:val="22"/>
              <w:widowControl/>
              <w:autoSpaceDE w:val="0"/>
              <w:spacing w:before="100" w:beforeAutospacing="1"/>
              <w:jc w:val="left"/>
              <w:rPr>
                <w:rFonts w:cs="Times New Roman"/>
                <w:color w:val="000000"/>
                <w:sz w:val="20"/>
                <w:szCs w:val="20"/>
              </w:rPr>
            </w:pPr>
            <w:r>
              <w:rPr>
                <w:rFonts w:cs="Times New Roman"/>
                <w:color w:val="000000"/>
                <w:sz w:val="20"/>
                <w:szCs w:val="20"/>
              </w:rPr>
              <w:t>(1.333606)</w:t>
            </w:r>
          </w:p>
        </w:tc>
      </w:tr>
      <w:tr w14:paraId="2F3D9513">
        <w:tc>
          <w:tcPr>
            <w:tcW w:w="747" w:type="pct"/>
            <w:tcBorders>
              <w:top w:val="nil"/>
              <w:left w:val="nil"/>
              <w:bottom w:val="nil"/>
              <w:right w:val="nil"/>
            </w:tcBorders>
          </w:tcPr>
          <w:p w14:paraId="477CDB0E">
            <w:pPr>
              <w:pStyle w:val="22"/>
              <w:widowControl/>
              <w:autoSpaceDE w:val="0"/>
              <w:spacing w:before="100" w:beforeAutospacing="1"/>
              <w:jc w:val="left"/>
              <w:rPr>
                <w:rFonts w:cs="Times New Roman"/>
                <w:color w:val="000000"/>
                <w:sz w:val="20"/>
                <w:szCs w:val="20"/>
              </w:rPr>
            </w:pPr>
            <w:r>
              <w:rPr>
                <w:rFonts w:cs="Times New Roman"/>
                <w:color w:val="000000"/>
                <w:sz w:val="20"/>
                <w:szCs w:val="20"/>
              </w:rPr>
              <w:t>UP</w:t>
            </w:r>
          </w:p>
        </w:tc>
        <w:tc>
          <w:tcPr>
            <w:tcW w:w="831" w:type="pct"/>
            <w:tcBorders>
              <w:top w:val="nil"/>
              <w:left w:val="nil"/>
              <w:bottom w:val="nil"/>
              <w:right w:val="nil"/>
            </w:tcBorders>
          </w:tcPr>
          <w:p w14:paraId="1BEC7FC1">
            <w:pPr>
              <w:pStyle w:val="22"/>
              <w:widowControl/>
              <w:autoSpaceDE w:val="0"/>
              <w:spacing w:before="100" w:beforeAutospacing="1"/>
              <w:jc w:val="left"/>
              <w:rPr>
                <w:rFonts w:cs="Times New Roman"/>
                <w:color w:val="000000"/>
                <w:sz w:val="20"/>
                <w:szCs w:val="20"/>
              </w:rPr>
            </w:pPr>
            <w:r>
              <w:rPr>
                <w:rFonts w:cs="Times New Roman"/>
                <w:color w:val="000000"/>
                <w:sz w:val="20"/>
                <w:szCs w:val="20"/>
              </w:rPr>
              <w:t>4.015466</w:t>
            </w:r>
          </w:p>
        </w:tc>
        <w:tc>
          <w:tcPr>
            <w:tcW w:w="739" w:type="pct"/>
            <w:tcBorders>
              <w:top w:val="nil"/>
              <w:left w:val="nil"/>
              <w:bottom w:val="nil"/>
              <w:right w:val="nil"/>
            </w:tcBorders>
          </w:tcPr>
          <w:p w14:paraId="5AEDD685">
            <w:pPr>
              <w:pStyle w:val="22"/>
              <w:widowControl/>
              <w:autoSpaceDE w:val="0"/>
              <w:spacing w:before="100" w:beforeAutospacing="1"/>
              <w:jc w:val="left"/>
              <w:rPr>
                <w:rFonts w:cs="Times New Roman"/>
                <w:color w:val="000000"/>
                <w:sz w:val="20"/>
                <w:szCs w:val="20"/>
              </w:rPr>
            </w:pPr>
            <w:r>
              <w:rPr>
                <w:rFonts w:cs="Times New Roman"/>
                <w:color w:val="000000"/>
                <w:sz w:val="20"/>
                <w:szCs w:val="20"/>
              </w:rPr>
              <w:t>2.282531</w:t>
            </w:r>
          </w:p>
        </w:tc>
        <w:tc>
          <w:tcPr>
            <w:tcW w:w="888" w:type="pct"/>
            <w:tcBorders>
              <w:top w:val="nil"/>
              <w:left w:val="nil"/>
              <w:bottom w:val="nil"/>
              <w:right w:val="nil"/>
            </w:tcBorders>
          </w:tcPr>
          <w:p w14:paraId="714B8A20">
            <w:pPr>
              <w:pStyle w:val="22"/>
              <w:widowControl/>
              <w:autoSpaceDE w:val="0"/>
              <w:spacing w:before="100" w:beforeAutospacing="1"/>
              <w:rPr>
                <w:rFonts w:cs="Times New Roman"/>
                <w:color w:val="000000"/>
                <w:sz w:val="20"/>
                <w:szCs w:val="20"/>
              </w:rPr>
            </w:pPr>
            <w:r>
              <w:rPr>
                <w:rFonts w:cs="Times New Roman"/>
                <w:color w:val="000000"/>
                <w:sz w:val="20"/>
                <w:szCs w:val="20"/>
              </w:rPr>
              <w:t>-5.060726</w:t>
            </w:r>
          </w:p>
        </w:tc>
        <w:tc>
          <w:tcPr>
            <w:tcW w:w="898" w:type="pct"/>
            <w:tcBorders>
              <w:top w:val="nil"/>
              <w:left w:val="nil"/>
              <w:bottom w:val="nil"/>
              <w:right w:val="nil"/>
            </w:tcBorders>
          </w:tcPr>
          <w:p w14:paraId="79FED758">
            <w:pPr>
              <w:pStyle w:val="22"/>
              <w:widowControl/>
              <w:autoSpaceDE w:val="0"/>
              <w:spacing w:before="100" w:beforeAutospacing="1"/>
              <w:jc w:val="left"/>
              <w:rPr>
                <w:rFonts w:cs="Times New Roman"/>
                <w:color w:val="000000"/>
                <w:sz w:val="20"/>
                <w:szCs w:val="20"/>
              </w:rPr>
            </w:pPr>
            <w:r>
              <w:rPr>
                <w:rFonts w:cs="Times New Roman"/>
                <w:color w:val="000000"/>
                <w:sz w:val="20"/>
                <w:szCs w:val="20"/>
              </w:rPr>
              <w:t>0.5843539</w:t>
            </w:r>
          </w:p>
        </w:tc>
        <w:tc>
          <w:tcPr>
            <w:tcW w:w="897" w:type="pct"/>
            <w:tcBorders>
              <w:top w:val="nil"/>
              <w:left w:val="nil"/>
              <w:bottom w:val="nil"/>
              <w:right w:val="nil"/>
            </w:tcBorders>
          </w:tcPr>
          <w:p w14:paraId="4098568F">
            <w:pPr>
              <w:pStyle w:val="22"/>
              <w:widowControl/>
              <w:autoSpaceDE w:val="0"/>
              <w:spacing w:before="100" w:beforeAutospacing="1"/>
              <w:jc w:val="left"/>
              <w:rPr>
                <w:rFonts w:cs="Times New Roman"/>
                <w:color w:val="000000"/>
                <w:sz w:val="20"/>
                <w:szCs w:val="20"/>
              </w:rPr>
            </w:pPr>
            <w:r>
              <w:rPr>
                <w:rFonts w:cs="Times New Roman"/>
                <w:color w:val="000000"/>
                <w:sz w:val="20"/>
                <w:szCs w:val="20"/>
              </w:rPr>
              <w:t>0.8608138</w:t>
            </w:r>
          </w:p>
        </w:tc>
      </w:tr>
      <w:tr w14:paraId="45C3494A">
        <w:trPr>
          <w:trHeight w:val="411" w:hRule="atLeast"/>
        </w:trPr>
        <w:tc>
          <w:tcPr>
            <w:tcW w:w="747" w:type="pct"/>
            <w:tcBorders>
              <w:top w:val="nil"/>
              <w:left w:val="nil"/>
              <w:bottom w:val="single" w:color="auto" w:sz="4" w:space="0"/>
              <w:right w:val="nil"/>
            </w:tcBorders>
          </w:tcPr>
          <w:p w14:paraId="688CCDAC">
            <w:pPr>
              <w:pStyle w:val="22"/>
              <w:widowControl/>
              <w:autoSpaceDE w:val="0"/>
              <w:spacing w:before="100" w:beforeAutospacing="1"/>
              <w:jc w:val="left"/>
              <w:rPr>
                <w:rFonts w:cs="Times New Roman"/>
                <w:color w:val="000000"/>
                <w:sz w:val="20"/>
                <w:szCs w:val="20"/>
              </w:rPr>
            </w:pPr>
          </w:p>
        </w:tc>
        <w:tc>
          <w:tcPr>
            <w:tcW w:w="831" w:type="pct"/>
            <w:tcBorders>
              <w:top w:val="nil"/>
              <w:left w:val="nil"/>
              <w:bottom w:val="single" w:color="auto" w:sz="4" w:space="0"/>
              <w:right w:val="nil"/>
            </w:tcBorders>
          </w:tcPr>
          <w:p w14:paraId="7CBB1C2B">
            <w:pPr>
              <w:pStyle w:val="22"/>
              <w:widowControl/>
              <w:autoSpaceDE w:val="0"/>
              <w:spacing w:before="100" w:beforeAutospacing="1"/>
              <w:jc w:val="left"/>
              <w:rPr>
                <w:rFonts w:cs="Times New Roman"/>
                <w:color w:val="000000"/>
                <w:sz w:val="20"/>
                <w:szCs w:val="20"/>
              </w:rPr>
            </w:pPr>
            <w:r>
              <w:rPr>
                <w:rFonts w:cs="Times New Roman"/>
                <w:color w:val="000000"/>
                <w:sz w:val="20"/>
                <w:szCs w:val="20"/>
              </w:rPr>
              <w:t>(3.940766)</w:t>
            </w:r>
          </w:p>
        </w:tc>
        <w:tc>
          <w:tcPr>
            <w:tcW w:w="739" w:type="pct"/>
            <w:tcBorders>
              <w:top w:val="nil"/>
              <w:left w:val="nil"/>
              <w:bottom w:val="single" w:color="auto" w:sz="4" w:space="0"/>
              <w:right w:val="nil"/>
            </w:tcBorders>
          </w:tcPr>
          <w:p w14:paraId="313491E9">
            <w:pPr>
              <w:pStyle w:val="22"/>
              <w:widowControl/>
              <w:autoSpaceDE w:val="0"/>
              <w:spacing w:before="100" w:beforeAutospacing="1"/>
              <w:jc w:val="left"/>
              <w:rPr>
                <w:rFonts w:cs="Times New Roman"/>
                <w:color w:val="000000"/>
                <w:sz w:val="20"/>
                <w:szCs w:val="20"/>
              </w:rPr>
            </w:pPr>
            <w:r>
              <w:rPr>
                <w:rFonts w:cs="Times New Roman"/>
                <w:color w:val="000000"/>
                <w:sz w:val="20"/>
                <w:szCs w:val="20"/>
              </w:rPr>
              <w:t>(1.577676)</w:t>
            </w:r>
          </w:p>
        </w:tc>
        <w:tc>
          <w:tcPr>
            <w:tcW w:w="888" w:type="pct"/>
            <w:tcBorders>
              <w:top w:val="nil"/>
              <w:left w:val="nil"/>
              <w:bottom w:val="single" w:color="auto" w:sz="4" w:space="0"/>
              <w:right w:val="nil"/>
            </w:tcBorders>
          </w:tcPr>
          <w:p w14:paraId="48CE6DE3">
            <w:pPr>
              <w:pStyle w:val="22"/>
              <w:widowControl/>
              <w:autoSpaceDE w:val="0"/>
              <w:spacing w:before="100" w:beforeAutospacing="1"/>
              <w:rPr>
                <w:rFonts w:cs="Times New Roman"/>
                <w:color w:val="000000"/>
                <w:sz w:val="20"/>
                <w:szCs w:val="20"/>
              </w:rPr>
            </w:pPr>
            <w:r>
              <w:rPr>
                <w:rFonts w:cs="Times New Roman"/>
                <w:color w:val="000000"/>
                <w:sz w:val="20"/>
                <w:szCs w:val="20"/>
              </w:rPr>
              <w:t>(6.446321)</w:t>
            </w:r>
          </w:p>
        </w:tc>
        <w:tc>
          <w:tcPr>
            <w:tcW w:w="898" w:type="pct"/>
            <w:tcBorders>
              <w:top w:val="nil"/>
              <w:left w:val="nil"/>
              <w:bottom w:val="single" w:color="auto" w:sz="4" w:space="0"/>
              <w:right w:val="nil"/>
            </w:tcBorders>
          </w:tcPr>
          <w:p w14:paraId="325A79ED">
            <w:pPr>
              <w:pStyle w:val="22"/>
              <w:widowControl/>
              <w:autoSpaceDE w:val="0"/>
              <w:spacing w:before="100" w:beforeAutospacing="1"/>
              <w:jc w:val="left"/>
              <w:rPr>
                <w:rFonts w:cs="Times New Roman"/>
                <w:color w:val="000000"/>
                <w:sz w:val="20"/>
                <w:szCs w:val="20"/>
              </w:rPr>
            </w:pPr>
            <w:r>
              <w:rPr>
                <w:rFonts w:cs="Times New Roman"/>
                <w:color w:val="000000"/>
                <w:sz w:val="20"/>
                <w:szCs w:val="20"/>
              </w:rPr>
              <w:t>(2.408219)</w:t>
            </w:r>
          </w:p>
        </w:tc>
        <w:tc>
          <w:tcPr>
            <w:tcW w:w="897" w:type="pct"/>
            <w:tcBorders>
              <w:top w:val="nil"/>
              <w:left w:val="nil"/>
              <w:bottom w:val="single" w:color="auto" w:sz="4" w:space="0"/>
              <w:right w:val="nil"/>
            </w:tcBorders>
          </w:tcPr>
          <w:p w14:paraId="5404587B">
            <w:pPr>
              <w:pStyle w:val="22"/>
              <w:widowControl/>
              <w:autoSpaceDE w:val="0"/>
              <w:spacing w:before="100" w:beforeAutospacing="1"/>
              <w:jc w:val="left"/>
              <w:rPr>
                <w:rFonts w:cs="Times New Roman"/>
                <w:color w:val="000000"/>
                <w:sz w:val="20"/>
                <w:szCs w:val="20"/>
              </w:rPr>
            </w:pPr>
            <w:r>
              <w:rPr>
                <w:rFonts w:cs="Times New Roman"/>
                <w:color w:val="000000"/>
                <w:sz w:val="20"/>
                <w:szCs w:val="20"/>
              </w:rPr>
              <w:t>(3.1918)</w:t>
            </w:r>
          </w:p>
        </w:tc>
      </w:tr>
      <w:tr w14:paraId="5E542A9A">
        <w:trPr>
          <w:trHeight w:val="411" w:hRule="atLeast"/>
        </w:trPr>
        <w:tc>
          <w:tcPr>
            <w:tcW w:w="747" w:type="pct"/>
            <w:tcBorders>
              <w:top w:val="single" w:color="auto" w:sz="4" w:space="0"/>
              <w:left w:val="nil"/>
              <w:bottom w:val="nil"/>
              <w:right w:val="nil"/>
            </w:tcBorders>
          </w:tcPr>
          <w:p w14:paraId="6FDF7738">
            <w:pPr>
              <w:pStyle w:val="22"/>
              <w:widowControl/>
              <w:autoSpaceDE w:val="0"/>
              <w:spacing w:before="100" w:beforeAutospacing="1"/>
              <w:jc w:val="left"/>
              <w:rPr>
                <w:rFonts w:cs="Times New Roman"/>
                <w:color w:val="000000"/>
                <w:sz w:val="20"/>
                <w:szCs w:val="20"/>
              </w:rPr>
            </w:pPr>
            <m:oMathPara>
              <m:oMathParaPr>
                <m:jc m:val="left"/>
              </m:oMathParaPr>
              <m:oMath>
                <m:sSup>
                  <m:sSupPr>
                    <m:ctrlPr>
                      <w:rPr>
                        <w:rFonts w:ascii="Cambria Math" w:hAnsi="Cambria Math" w:eastAsia="宋体" w:cs="Times New Roman"/>
                        <w:bCs w:val="0"/>
                        <w:i/>
                        <w:color w:val="000000"/>
                        <w:kern w:val="2"/>
                        <w:sz w:val="20"/>
                        <w:szCs w:val="20"/>
                      </w:rPr>
                    </m:ctrlPr>
                  </m:sSupPr>
                  <m:e>
                    <m:r>
                      <m:rPr/>
                      <w:rPr>
                        <w:rFonts w:ascii="Cambria Math" w:hAnsi="Cambria Math" w:cs="Times New Roman"/>
                        <w:color w:val="000000"/>
                        <w:sz w:val="20"/>
                        <w:szCs w:val="20"/>
                      </w:rPr>
                      <m:t>R</m:t>
                    </m:r>
                    <m:ctrlPr>
                      <w:rPr>
                        <w:rFonts w:ascii="Cambria Math" w:hAnsi="Cambria Math" w:eastAsia="宋体" w:cs="Times New Roman"/>
                        <w:bCs w:val="0"/>
                        <w:i/>
                        <w:color w:val="000000"/>
                        <w:kern w:val="2"/>
                        <w:sz w:val="20"/>
                        <w:szCs w:val="20"/>
                      </w:rPr>
                    </m:ctrlPr>
                  </m:e>
                  <m:sup>
                    <m:r>
                      <m:rPr/>
                      <w:rPr>
                        <w:rFonts w:ascii="Cambria Math" w:hAnsi="Cambria Math" w:cs="Times New Roman"/>
                        <w:color w:val="000000"/>
                        <w:sz w:val="20"/>
                        <w:szCs w:val="20"/>
                      </w:rPr>
                      <m:t>2</m:t>
                    </m:r>
                    <m:ctrlPr>
                      <w:rPr>
                        <w:rFonts w:ascii="Cambria Math" w:hAnsi="Cambria Math" w:eastAsia="宋体" w:cs="Times New Roman"/>
                        <w:bCs w:val="0"/>
                        <w:i/>
                        <w:color w:val="000000"/>
                        <w:kern w:val="2"/>
                        <w:sz w:val="20"/>
                        <w:szCs w:val="20"/>
                      </w:rPr>
                    </m:ctrlPr>
                  </m:sup>
                </m:sSup>
              </m:oMath>
            </m:oMathPara>
          </w:p>
        </w:tc>
        <w:tc>
          <w:tcPr>
            <w:tcW w:w="831" w:type="pct"/>
            <w:tcBorders>
              <w:top w:val="single" w:color="auto" w:sz="4" w:space="0"/>
              <w:left w:val="nil"/>
              <w:bottom w:val="nil"/>
              <w:right w:val="nil"/>
            </w:tcBorders>
          </w:tcPr>
          <w:p w14:paraId="6AED894A">
            <w:pPr>
              <w:pStyle w:val="22"/>
              <w:widowControl/>
              <w:autoSpaceDE w:val="0"/>
              <w:spacing w:before="100" w:beforeAutospacing="1"/>
              <w:jc w:val="left"/>
              <w:rPr>
                <w:rFonts w:cs="Times New Roman"/>
                <w:color w:val="000000"/>
                <w:sz w:val="20"/>
                <w:szCs w:val="20"/>
              </w:rPr>
            </w:pPr>
            <w:r>
              <w:rPr>
                <w:rFonts w:cs="Times New Roman"/>
                <w:color w:val="000000"/>
                <w:sz w:val="20"/>
                <w:szCs w:val="20"/>
              </w:rPr>
              <w:t>0.4918</w:t>
            </w:r>
          </w:p>
        </w:tc>
        <w:tc>
          <w:tcPr>
            <w:tcW w:w="739" w:type="pct"/>
            <w:tcBorders>
              <w:top w:val="single" w:color="auto" w:sz="4" w:space="0"/>
              <w:left w:val="nil"/>
              <w:bottom w:val="nil"/>
              <w:right w:val="nil"/>
            </w:tcBorders>
          </w:tcPr>
          <w:p w14:paraId="35B8D5F1">
            <w:pPr>
              <w:pStyle w:val="22"/>
              <w:widowControl/>
              <w:autoSpaceDE w:val="0"/>
              <w:spacing w:before="100" w:beforeAutospacing="1"/>
              <w:jc w:val="left"/>
              <w:rPr>
                <w:rFonts w:cs="Times New Roman"/>
                <w:color w:val="000000"/>
                <w:sz w:val="20"/>
                <w:szCs w:val="20"/>
              </w:rPr>
            </w:pPr>
            <w:r>
              <w:rPr>
                <w:rFonts w:cs="Times New Roman"/>
                <w:color w:val="000000"/>
                <w:sz w:val="20"/>
                <w:szCs w:val="20"/>
              </w:rPr>
              <w:t>0.3266</w:t>
            </w:r>
          </w:p>
        </w:tc>
        <w:tc>
          <w:tcPr>
            <w:tcW w:w="888" w:type="pct"/>
            <w:tcBorders>
              <w:top w:val="single" w:color="auto" w:sz="4" w:space="0"/>
              <w:left w:val="nil"/>
              <w:bottom w:val="nil"/>
              <w:right w:val="nil"/>
            </w:tcBorders>
          </w:tcPr>
          <w:p w14:paraId="0EF45459">
            <w:pPr>
              <w:pStyle w:val="22"/>
              <w:widowControl/>
              <w:autoSpaceDE w:val="0"/>
              <w:spacing w:before="100" w:beforeAutospacing="1"/>
              <w:rPr>
                <w:rFonts w:cs="Times New Roman"/>
                <w:color w:val="000000"/>
                <w:sz w:val="20"/>
                <w:szCs w:val="20"/>
              </w:rPr>
            </w:pPr>
            <w:r>
              <w:rPr>
                <w:rFonts w:cs="Times New Roman"/>
                <w:color w:val="000000"/>
                <w:sz w:val="20"/>
                <w:szCs w:val="20"/>
              </w:rPr>
              <w:t>0.7253</w:t>
            </w:r>
          </w:p>
        </w:tc>
        <w:tc>
          <w:tcPr>
            <w:tcW w:w="898" w:type="pct"/>
            <w:tcBorders>
              <w:top w:val="single" w:color="auto" w:sz="4" w:space="0"/>
              <w:left w:val="nil"/>
              <w:bottom w:val="nil"/>
              <w:right w:val="nil"/>
            </w:tcBorders>
          </w:tcPr>
          <w:p w14:paraId="4E548CFC">
            <w:pPr>
              <w:pStyle w:val="22"/>
              <w:widowControl/>
              <w:autoSpaceDE w:val="0"/>
              <w:spacing w:before="100" w:beforeAutospacing="1"/>
              <w:jc w:val="left"/>
              <w:rPr>
                <w:rFonts w:cs="Times New Roman"/>
                <w:color w:val="000000"/>
                <w:sz w:val="20"/>
                <w:szCs w:val="20"/>
              </w:rPr>
            </w:pPr>
            <w:r>
              <w:rPr>
                <w:rFonts w:cs="Times New Roman"/>
                <w:color w:val="000000"/>
                <w:sz w:val="20"/>
                <w:szCs w:val="20"/>
              </w:rPr>
              <w:t>0.2114</w:t>
            </w:r>
          </w:p>
        </w:tc>
        <w:tc>
          <w:tcPr>
            <w:tcW w:w="897" w:type="pct"/>
            <w:tcBorders>
              <w:top w:val="single" w:color="auto" w:sz="4" w:space="0"/>
              <w:left w:val="nil"/>
              <w:bottom w:val="nil"/>
              <w:right w:val="nil"/>
            </w:tcBorders>
          </w:tcPr>
          <w:p w14:paraId="1CB1714C">
            <w:pPr>
              <w:pStyle w:val="22"/>
              <w:widowControl/>
              <w:autoSpaceDE w:val="0"/>
              <w:spacing w:before="100" w:beforeAutospacing="1"/>
              <w:jc w:val="left"/>
              <w:rPr>
                <w:rFonts w:cs="Times New Roman"/>
                <w:color w:val="000000"/>
                <w:sz w:val="20"/>
                <w:szCs w:val="20"/>
              </w:rPr>
            </w:pPr>
            <w:r>
              <w:rPr>
                <w:rFonts w:cs="Times New Roman"/>
                <w:color w:val="000000"/>
                <w:sz w:val="20"/>
                <w:szCs w:val="20"/>
              </w:rPr>
              <w:t>0.3019</w:t>
            </w:r>
          </w:p>
        </w:tc>
      </w:tr>
      <w:tr w14:paraId="214DB186">
        <w:trPr>
          <w:trHeight w:val="411" w:hRule="atLeast"/>
        </w:trPr>
        <w:tc>
          <w:tcPr>
            <w:tcW w:w="747" w:type="pct"/>
            <w:tcBorders>
              <w:top w:val="single" w:color="auto" w:sz="4" w:space="0"/>
              <w:left w:val="nil"/>
              <w:bottom w:val="nil"/>
              <w:right w:val="nil"/>
            </w:tcBorders>
          </w:tcPr>
          <w:p w14:paraId="5DF34669">
            <w:pPr>
              <w:pStyle w:val="22"/>
              <w:widowControl/>
              <w:autoSpaceDE w:val="0"/>
              <w:spacing w:before="100" w:beforeAutospacing="1"/>
              <w:jc w:val="left"/>
              <w:rPr>
                <w:rFonts w:cs="Times New Roman"/>
                <w:color w:val="000000"/>
                <w:sz w:val="20"/>
                <w:szCs w:val="20"/>
              </w:rPr>
            </w:pPr>
            <w:r>
              <w:rPr>
                <w:rFonts w:cs="Times New Roman"/>
                <w:color w:val="000000"/>
                <w:sz w:val="20"/>
                <w:szCs w:val="20"/>
              </w:rPr>
              <w:t>Number of observations</w:t>
            </w:r>
          </w:p>
        </w:tc>
        <w:tc>
          <w:tcPr>
            <w:tcW w:w="831" w:type="pct"/>
            <w:tcBorders>
              <w:top w:val="single" w:color="auto" w:sz="4" w:space="0"/>
              <w:left w:val="nil"/>
              <w:bottom w:val="nil"/>
              <w:right w:val="nil"/>
            </w:tcBorders>
          </w:tcPr>
          <w:p w14:paraId="58E11CA2">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c>
          <w:tcPr>
            <w:tcW w:w="739" w:type="pct"/>
            <w:tcBorders>
              <w:top w:val="single" w:color="auto" w:sz="4" w:space="0"/>
              <w:left w:val="nil"/>
              <w:bottom w:val="nil"/>
              <w:right w:val="nil"/>
            </w:tcBorders>
          </w:tcPr>
          <w:p w14:paraId="4F1461AB">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c>
          <w:tcPr>
            <w:tcW w:w="888" w:type="pct"/>
            <w:tcBorders>
              <w:top w:val="single" w:color="auto" w:sz="4" w:space="0"/>
              <w:left w:val="nil"/>
              <w:bottom w:val="nil"/>
              <w:right w:val="nil"/>
            </w:tcBorders>
          </w:tcPr>
          <w:p w14:paraId="5BF3CFC3">
            <w:pPr>
              <w:pStyle w:val="22"/>
              <w:widowControl/>
              <w:autoSpaceDE w:val="0"/>
              <w:spacing w:before="100" w:beforeAutospacing="1"/>
              <w:rPr>
                <w:rFonts w:cs="Times New Roman"/>
                <w:color w:val="000000"/>
                <w:sz w:val="20"/>
                <w:szCs w:val="20"/>
              </w:rPr>
            </w:pPr>
            <w:r>
              <w:rPr>
                <w:rFonts w:cs="Times New Roman"/>
                <w:color w:val="000000"/>
                <w:sz w:val="20"/>
                <w:szCs w:val="20"/>
              </w:rPr>
              <w:t>325</w:t>
            </w:r>
          </w:p>
        </w:tc>
        <w:tc>
          <w:tcPr>
            <w:tcW w:w="898" w:type="pct"/>
            <w:tcBorders>
              <w:top w:val="single" w:color="auto" w:sz="4" w:space="0"/>
              <w:left w:val="nil"/>
              <w:bottom w:val="nil"/>
              <w:right w:val="nil"/>
            </w:tcBorders>
          </w:tcPr>
          <w:p w14:paraId="3376423C">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c>
          <w:tcPr>
            <w:tcW w:w="897" w:type="pct"/>
            <w:tcBorders>
              <w:top w:val="single" w:color="auto" w:sz="4" w:space="0"/>
              <w:left w:val="nil"/>
              <w:bottom w:val="nil"/>
              <w:right w:val="nil"/>
            </w:tcBorders>
          </w:tcPr>
          <w:p w14:paraId="5AD7BBD5">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r>
      <w:tr w14:paraId="15B8ECC5">
        <w:trPr>
          <w:trHeight w:val="411" w:hRule="atLeast"/>
        </w:trPr>
        <w:tc>
          <w:tcPr>
            <w:tcW w:w="747" w:type="pct"/>
            <w:tcBorders>
              <w:top w:val="nil"/>
              <w:left w:val="nil"/>
              <w:bottom w:val="single" w:color="000000" w:sz="4" w:space="0"/>
              <w:right w:val="nil"/>
            </w:tcBorders>
          </w:tcPr>
          <w:p w14:paraId="3CA01EAC">
            <w:pPr>
              <w:pStyle w:val="22"/>
              <w:widowControl/>
              <w:autoSpaceDE w:val="0"/>
              <w:spacing w:before="100" w:beforeAutospacing="1"/>
              <w:jc w:val="left"/>
              <w:rPr>
                <w:rFonts w:cs="Times New Roman"/>
                <w:color w:val="000000"/>
                <w:sz w:val="20"/>
                <w:szCs w:val="20"/>
              </w:rPr>
            </w:pPr>
            <w:r>
              <w:rPr>
                <w:rFonts w:cs="Times New Roman"/>
                <w:color w:val="000000"/>
                <w:sz w:val="20"/>
                <w:szCs w:val="20"/>
              </w:rPr>
              <w:t>Number of countries</w:t>
            </w:r>
          </w:p>
        </w:tc>
        <w:tc>
          <w:tcPr>
            <w:tcW w:w="831" w:type="pct"/>
            <w:tcBorders>
              <w:top w:val="nil"/>
              <w:left w:val="nil"/>
              <w:bottom w:val="single" w:color="000000" w:sz="4" w:space="0"/>
              <w:right w:val="nil"/>
            </w:tcBorders>
          </w:tcPr>
          <w:p w14:paraId="65C580C7">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c>
          <w:tcPr>
            <w:tcW w:w="739" w:type="pct"/>
            <w:tcBorders>
              <w:top w:val="nil"/>
              <w:left w:val="nil"/>
              <w:bottom w:val="single" w:color="000000" w:sz="4" w:space="0"/>
              <w:right w:val="nil"/>
            </w:tcBorders>
          </w:tcPr>
          <w:p w14:paraId="64EA3964">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c>
          <w:tcPr>
            <w:tcW w:w="888" w:type="pct"/>
            <w:tcBorders>
              <w:top w:val="nil"/>
              <w:left w:val="nil"/>
              <w:bottom w:val="single" w:color="000000" w:sz="4" w:space="0"/>
              <w:right w:val="nil"/>
            </w:tcBorders>
          </w:tcPr>
          <w:p w14:paraId="08A8AF23">
            <w:pPr>
              <w:pStyle w:val="22"/>
              <w:widowControl/>
              <w:autoSpaceDE w:val="0"/>
              <w:spacing w:before="100" w:beforeAutospacing="1"/>
              <w:rPr>
                <w:rFonts w:cs="Times New Roman"/>
                <w:color w:val="000000"/>
                <w:sz w:val="20"/>
                <w:szCs w:val="20"/>
              </w:rPr>
            </w:pPr>
            <w:r>
              <w:rPr>
                <w:rFonts w:cs="Times New Roman"/>
                <w:color w:val="000000"/>
                <w:sz w:val="20"/>
                <w:szCs w:val="20"/>
              </w:rPr>
              <w:t>13</w:t>
            </w:r>
          </w:p>
        </w:tc>
        <w:tc>
          <w:tcPr>
            <w:tcW w:w="898" w:type="pct"/>
            <w:tcBorders>
              <w:top w:val="nil"/>
              <w:left w:val="nil"/>
              <w:bottom w:val="single" w:color="000000" w:sz="4" w:space="0"/>
              <w:right w:val="nil"/>
            </w:tcBorders>
          </w:tcPr>
          <w:p w14:paraId="4A538437">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c>
          <w:tcPr>
            <w:tcW w:w="897" w:type="pct"/>
            <w:tcBorders>
              <w:top w:val="nil"/>
              <w:left w:val="nil"/>
              <w:bottom w:val="single" w:color="000000" w:sz="4" w:space="0"/>
              <w:right w:val="nil"/>
            </w:tcBorders>
          </w:tcPr>
          <w:p w14:paraId="01041C28">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r>
      <w:bookmarkEnd w:id="130"/>
    </w:tbl>
    <w:p w14:paraId="314E9D3F">
      <w:pPr>
        <w:pStyle w:val="7"/>
      </w:pPr>
      <w:bookmarkStart w:id="131" w:name="_Toc216867803"/>
      <w:r>
        <w:t xml:space="preserve">Table </w:t>
      </w:r>
      <w:r>
        <w:rPr>
          <w:rFonts w:hint="eastAsia" w:eastAsia="宋体"/>
          <w:lang w:val="en-US" w:eastAsia="zh-CN"/>
        </w:rPr>
        <w:t>14</w:t>
      </w:r>
      <w:r>
        <w:t xml:space="preserve"> Robustness Test Using Quantile (τ = 0.25 Model 1)</w:t>
      </w:r>
      <w:bookmarkEnd w:id="131"/>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402"/>
        <w:gridCol w:w="1232"/>
        <w:gridCol w:w="1481"/>
        <w:gridCol w:w="1532"/>
        <w:gridCol w:w="1530"/>
      </w:tblGrid>
      <w:tr w14:paraId="0F2BF2F8">
        <w:tc>
          <w:tcPr>
            <w:tcW w:w="746" w:type="pct"/>
            <w:tcBorders>
              <w:top w:val="single" w:color="auto" w:sz="4" w:space="0"/>
              <w:left w:val="nil"/>
              <w:bottom w:val="nil"/>
              <w:right w:val="nil"/>
            </w:tcBorders>
          </w:tcPr>
          <w:p w14:paraId="2FF34305">
            <w:pPr>
              <w:pStyle w:val="69"/>
              <w:spacing w:line="360" w:lineRule="auto"/>
              <w:rPr>
                <w:rFonts w:ascii="Times New Roman" w:hAnsi="Times New Roman"/>
                <w:color w:val="000000"/>
                <w:sz w:val="20"/>
                <w:szCs w:val="20"/>
              </w:rPr>
            </w:pPr>
            <w:r>
              <w:rPr>
                <w:rFonts w:ascii="Times New Roman" w:hAnsi="Times New Roman"/>
                <w:color w:val="000000"/>
                <w:sz w:val="20"/>
                <w:szCs w:val="20"/>
              </w:rPr>
              <w:t>Dependent variable</w:t>
            </w:r>
          </w:p>
        </w:tc>
        <w:tc>
          <w:tcPr>
            <w:tcW w:w="831" w:type="pct"/>
            <w:tcBorders>
              <w:top w:val="single" w:color="auto" w:sz="4" w:space="0"/>
              <w:left w:val="nil"/>
              <w:bottom w:val="single" w:color="auto" w:sz="4" w:space="0"/>
              <w:right w:val="nil"/>
            </w:tcBorders>
            <w:vAlign w:val="center"/>
          </w:tcPr>
          <w:p w14:paraId="225ED515">
            <w:pPr>
              <w:pStyle w:val="69"/>
              <w:spacing w:line="360" w:lineRule="auto"/>
              <w:rPr>
                <w:rFonts w:ascii="Times New Roman" w:hAnsi="Times New Roman"/>
                <w:color w:val="000000"/>
                <w:sz w:val="20"/>
                <w:szCs w:val="20"/>
              </w:rPr>
            </w:pPr>
            <w:r>
              <w:rPr>
                <w:rFonts w:ascii="Times New Roman" w:hAnsi="Times New Roman"/>
                <w:color w:val="000000"/>
                <w:sz w:val="20"/>
                <w:szCs w:val="20"/>
              </w:rPr>
              <w:t>(1) GDP (τ = 0.25)</w:t>
            </w:r>
          </w:p>
        </w:tc>
        <w:tc>
          <w:tcPr>
            <w:tcW w:w="730" w:type="pct"/>
            <w:tcBorders>
              <w:top w:val="single" w:color="auto" w:sz="4" w:space="0"/>
              <w:left w:val="nil"/>
              <w:bottom w:val="single" w:color="auto" w:sz="4" w:space="0"/>
              <w:right w:val="nil"/>
            </w:tcBorders>
            <w:vAlign w:val="center"/>
          </w:tcPr>
          <w:p w14:paraId="2B215E4C">
            <w:pPr>
              <w:pStyle w:val="69"/>
              <w:spacing w:line="360" w:lineRule="auto"/>
              <w:rPr>
                <w:rFonts w:ascii="Times New Roman" w:hAnsi="Times New Roman"/>
                <w:color w:val="000000"/>
                <w:sz w:val="20"/>
                <w:szCs w:val="20"/>
              </w:rPr>
            </w:pPr>
            <w:r>
              <w:rPr>
                <w:rFonts w:ascii="Times New Roman" w:hAnsi="Times New Roman"/>
                <w:color w:val="000000"/>
                <w:sz w:val="20"/>
                <w:szCs w:val="20"/>
              </w:rPr>
              <w:t>(2) UE (τ = 0.25)</w:t>
            </w:r>
          </w:p>
        </w:tc>
        <w:tc>
          <w:tcPr>
            <w:tcW w:w="878" w:type="pct"/>
            <w:tcBorders>
              <w:top w:val="single" w:color="auto" w:sz="4" w:space="0"/>
              <w:left w:val="nil"/>
              <w:bottom w:val="single" w:color="auto" w:sz="4" w:space="0"/>
              <w:right w:val="nil"/>
            </w:tcBorders>
            <w:vAlign w:val="center"/>
          </w:tcPr>
          <w:p w14:paraId="3A2B5104">
            <w:pPr>
              <w:pStyle w:val="69"/>
              <w:spacing w:line="360" w:lineRule="auto"/>
              <w:rPr>
                <w:rFonts w:ascii="Times New Roman" w:hAnsi="Times New Roman"/>
                <w:color w:val="000000"/>
                <w:sz w:val="20"/>
                <w:szCs w:val="20"/>
              </w:rPr>
            </w:pPr>
            <w:r>
              <w:rPr>
                <w:rFonts w:ascii="Times New Roman" w:hAnsi="Times New Roman"/>
                <w:color w:val="000000"/>
                <w:sz w:val="20"/>
                <w:szCs w:val="20"/>
              </w:rPr>
              <w:t>(3) AR (τ = 0.25)</w:t>
            </w:r>
          </w:p>
        </w:tc>
        <w:tc>
          <w:tcPr>
            <w:tcW w:w="908" w:type="pct"/>
            <w:tcBorders>
              <w:top w:val="single" w:color="auto" w:sz="4" w:space="0"/>
              <w:left w:val="nil"/>
              <w:bottom w:val="single" w:color="auto" w:sz="4" w:space="0"/>
              <w:right w:val="nil"/>
            </w:tcBorders>
            <w:vAlign w:val="center"/>
          </w:tcPr>
          <w:p w14:paraId="2ACFE444">
            <w:pPr>
              <w:pStyle w:val="69"/>
              <w:spacing w:line="360" w:lineRule="auto"/>
              <w:rPr>
                <w:rFonts w:ascii="Times New Roman" w:hAnsi="Times New Roman"/>
                <w:color w:val="000000"/>
                <w:sz w:val="20"/>
                <w:szCs w:val="20"/>
              </w:rPr>
            </w:pPr>
            <w:r>
              <w:rPr>
                <w:rFonts w:ascii="Times New Roman" w:hAnsi="Times New Roman"/>
                <w:color w:val="000000"/>
                <w:sz w:val="20"/>
                <w:szCs w:val="20"/>
              </w:rPr>
              <w:t>(4) FDI (τ = 0.25)</w:t>
            </w:r>
          </w:p>
        </w:tc>
        <w:tc>
          <w:tcPr>
            <w:tcW w:w="907" w:type="pct"/>
            <w:tcBorders>
              <w:top w:val="single" w:color="auto" w:sz="4" w:space="0"/>
              <w:left w:val="nil"/>
              <w:bottom w:val="single" w:color="auto" w:sz="4" w:space="0"/>
              <w:right w:val="nil"/>
            </w:tcBorders>
            <w:vAlign w:val="center"/>
          </w:tcPr>
          <w:p w14:paraId="0474C811">
            <w:pPr>
              <w:pStyle w:val="69"/>
              <w:spacing w:line="360" w:lineRule="auto"/>
              <w:rPr>
                <w:rFonts w:ascii="Times New Roman" w:hAnsi="Times New Roman"/>
                <w:color w:val="000000"/>
                <w:sz w:val="20"/>
                <w:szCs w:val="20"/>
              </w:rPr>
            </w:pPr>
            <w:r>
              <w:rPr>
                <w:rFonts w:ascii="Times New Roman" w:hAnsi="Times New Roman"/>
                <w:color w:val="000000"/>
                <w:sz w:val="20"/>
                <w:szCs w:val="20"/>
              </w:rPr>
              <w:t>(5) INFLA (τ = 0.25)</w:t>
            </w:r>
          </w:p>
        </w:tc>
      </w:tr>
      <w:tr w14:paraId="7DC5B67D">
        <w:tc>
          <w:tcPr>
            <w:tcW w:w="746" w:type="pct"/>
            <w:tcBorders>
              <w:top w:val="nil"/>
              <w:left w:val="nil"/>
              <w:bottom w:val="nil"/>
              <w:right w:val="nil"/>
            </w:tcBorders>
          </w:tcPr>
          <w:p w14:paraId="2414CFD0">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831" w:type="pct"/>
            <w:tcBorders>
              <w:top w:val="single" w:color="auto" w:sz="4" w:space="0"/>
              <w:left w:val="nil"/>
              <w:bottom w:val="single" w:color="auto" w:sz="4" w:space="0"/>
              <w:right w:val="nil"/>
            </w:tcBorders>
            <w:vAlign w:val="center"/>
          </w:tcPr>
          <w:p w14:paraId="4D752F7C">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730" w:type="pct"/>
            <w:tcBorders>
              <w:top w:val="single" w:color="auto" w:sz="4" w:space="0"/>
              <w:left w:val="nil"/>
              <w:bottom w:val="single" w:color="auto" w:sz="4" w:space="0"/>
              <w:right w:val="nil"/>
            </w:tcBorders>
            <w:vAlign w:val="center"/>
          </w:tcPr>
          <w:p w14:paraId="23AB887B">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78" w:type="pct"/>
            <w:tcBorders>
              <w:top w:val="single" w:color="auto" w:sz="4" w:space="0"/>
              <w:left w:val="nil"/>
              <w:bottom w:val="single" w:color="auto" w:sz="4" w:space="0"/>
              <w:right w:val="nil"/>
            </w:tcBorders>
            <w:vAlign w:val="center"/>
          </w:tcPr>
          <w:p w14:paraId="069FA7C3">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08" w:type="pct"/>
            <w:tcBorders>
              <w:top w:val="single" w:color="auto" w:sz="4" w:space="0"/>
              <w:left w:val="nil"/>
              <w:bottom w:val="single" w:color="auto" w:sz="4" w:space="0"/>
              <w:right w:val="nil"/>
            </w:tcBorders>
            <w:vAlign w:val="center"/>
          </w:tcPr>
          <w:p w14:paraId="35F3857C">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07" w:type="pct"/>
            <w:tcBorders>
              <w:top w:val="single" w:color="auto" w:sz="4" w:space="0"/>
              <w:left w:val="nil"/>
              <w:bottom w:val="single" w:color="auto" w:sz="4" w:space="0"/>
              <w:right w:val="nil"/>
            </w:tcBorders>
            <w:vAlign w:val="center"/>
          </w:tcPr>
          <w:p w14:paraId="5A54AEE0">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57CA3614">
        <w:tc>
          <w:tcPr>
            <w:tcW w:w="746" w:type="pct"/>
            <w:tcBorders>
              <w:top w:val="single" w:color="auto" w:sz="4" w:space="0"/>
              <w:left w:val="nil"/>
              <w:bottom w:val="nil"/>
              <w:right w:val="nil"/>
            </w:tcBorders>
          </w:tcPr>
          <w:p w14:paraId="24F6E7ED">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TEI_agri </w:t>
            </w:r>
          </w:p>
        </w:tc>
        <w:tc>
          <w:tcPr>
            <w:tcW w:w="831" w:type="pct"/>
            <w:tcBorders>
              <w:top w:val="single" w:color="auto" w:sz="4" w:space="0"/>
              <w:left w:val="nil"/>
              <w:bottom w:val="nil"/>
              <w:right w:val="nil"/>
            </w:tcBorders>
          </w:tcPr>
          <w:p w14:paraId="2F2C3502">
            <w:pPr>
              <w:rPr>
                <w:rFonts w:eastAsia="宋体" w:cs="Times New Roman"/>
                <w:color w:val="000000"/>
                <w:kern w:val="2"/>
                <w:sz w:val="20"/>
                <w:szCs w:val="20"/>
              </w:rPr>
            </w:pPr>
            <w:r>
              <w:rPr>
                <w:rFonts w:cs="Times New Roman"/>
                <w:color w:val="000000"/>
                <w:sz w:val="20"/>
                <w:szCs w:val="20"/>
              </w:rPr>
              <w:t>0</w:t>
            </w:r>
            <w:r>
              <w:rPr>
                <w:rFonts w:eastAsia="宋体" w:cs="Times New Roman"/>
                <w:color w:val="000000"/>
                <w:sz w:val="20"/>
                <w:szCs w:val="20"/>
              </w:rPr>
              <w:t>.0265223</w:t>
            </w:r>
            <w:r>
              <w:rPr>
                <w:rFonts w:cs="Times New Roman"/>
                <w:color w:val="000000"/>
                <w:sz w:val="20"/>
                <w:szCs w:val="20"/>
              </w:rPr>
              <w:t>***</w:t>
            </w:r>
          </w:p>
        </w:tc>
        <w:tc>
          <w:tcPr>
            <w:tcW w:w="730" w:type="pct"/>
            <w:tcBorders>
              <w:top w:val="single" w:color="auto" w:sz="4" w:space="0"/>
              <w:left w:val="nil"/>
              <w:bottom w:val="nil"/>
              <w:right w:val="nil"/>
            </w:tcBorders>
          </w:tcPr>
          <w:p w14:paraId="4DFA5342">
            <w:pPr>
              <w:pStyle w:val="69"/>
              <w:spacing w:line="360" w:lineRule="auto"/>
              <w:rPr>
                <w:rFonts w:ascii="Times New Roman" w:hAnsi="Times New Roman"/>
                <w:color w:val="000000"/>
                <w:sz w:val="20"/>
                <w:szCs w:val="20"/>
              </w:rPr>
            </w:pPr>
            <w:r>
              <w:rPr>
                <w:rFonts w:ascii="Times New Roman" w:hAnsi="Times New Roman"/>
                <w:color w:val="000000"/>
                <w:sz w:val="20"/>
                <w:szCs w:val="20"/>
              </w:rPr>
              <w:t>-0.0077***</w:t>
            </w:r>
          </w:p>
        </w:tc>
        <w:tc>
          <w:tcPr>
            <w:tcW w:w="878" w:type="pct"/>
            <w:tcBorders>
              <w:top w:val="single" w:color="auto" w:sz="4" w:space="0"/>
              <w:left w:val="nil"/>
              <w:bottom w:val="nil"/>
              <w:right w:val="nil"/>
            </w:tcBorders>
          </w:tcPr>
          <w:p w14:paraId="1758FA66">
            <w:pPr>
              <w:pStyle w:val="69"/>
              <w:spacing w:line="360" w:lineRule="auto"/>
              <w:rPr>
                <w:rFonts w:ascii="Times New Roman" w:hAnsi="Times New Roman"/>
                <w:color w:val="000000"/>
                <w:sz w:val="20"/>
                <w:szCs w:val="20"/>
              </w:rPr>
            </w:pPr>
            <w:r>
              <w:rPr>
                <w:rFonts w:ascii="Times New Roman" w:hAnsi="Times New Roman"/>
                <w:color w:val="000000"/>
                <w:sz w:val="20"/>
                <w:szCs w:val="20"/>
              </w:rPr>
              <w:t>0.1188937***</w:t>
            </w:r>
          </w:p>
        </w:tc>
        <w:tc>
          <w:tcPr>
            <w:tcW w:w="908" w:type="pct"/>
            <w:tcBorders>
              <w:top w:val="single" w:color="auto" w:sz="4" w:space="0"/>
              <w:left w:val="nil"/>
              <w:bottom w:val="nil"/>
              <w:right w:val="nil"/>
            </w:tcBorders>
          </w:tcPr>
          <w:p w14:paraId="4B8AD25A">
            <w:pPr>
              <w:pStyle w:val="69"/>
              <w:spacing w:line="360" w:lineRule="auto"/>
              <w:rPr>
                <w:rFonts w:ascii="Times New Roman" w:hAnsi="Times New Roman"/>
                <w:color w:val="000000"/>
                <w:sz w:val="20"/>
                <w:szCs w:val="20"/>
              </w:rPr>
            </w:pPr>
            <w:r>
              <w:rPr>
                <w:rFonts w:ascii="Times New Roman" w:hAnsi="Times New Roman"/>
                <w:color w:val="000000"/>
                <w:sz w:val="20"/>
                <w:szCs w:val="20"/>
              </w:rPr>
              <w:t>0.01092***</w:t>
            </w:r>
          </w:p>
        </w:tc>
        <w:tc>
          <w:tcPr>
            <w:tcW w:w="907" w:type="pct"/>
            <w:tcBorders>
              <w:top w:val="single" w:color="auto" w:sz="4" w:space="0"/>
              <w:left w:val="nil"/>
              <w:bottom w:val="nil"/>
              <w:right w:val="nil"/>
            </w:tcBorders>
          </w:tcPr>
          <w:p w14:paraId="27B4A27C">
            <w:pPr>
              <w:pStyle w:val="69"/>
              <w:spacing w:line="360" w:lineRule="auto"/>
              <w:rPr>
                <w:rFonts w:ascii="Times New Roman" w:hAnsi="Times New Roman"/>
                <w:color w:val="000000"/>
                <w:sz w:val="20"/>
                <w:szCs w:val="20"/>
              </w:rPr>
            </w:pPr>
            <w:r>
              <w:rPr>
                <w:rFonts w:ascii="Times New Roman" w:hAnsi="Times New Roman"/>
                <w:color w:val="000000"/>
                <w:sz w:val="20"/>
                <w:szCs w:val="20"/>
              </w:rPr>
              <w:t>0.0210406***</w:t>
            </w:r>
          </w:p>
        </w:tc>
      </w:tr>
      <w:tr w14:paraId="2E27A954">
        <w:tc>
          <w:tcPr>
            <w:tcW w:w="746" w:type="pct"/>
            <w:tcBorders>
              <w:top w:val="nil"/>
              <w:left w:val="nil"/>
              <w:bottom w:val="nil"/>
              <w:right w:val="nil"/>
            </w:tcBorders>
          </w:tcPr>
          <w:p w14:paraId="03897E9A">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4CCA8B8C">
            <w:pPr>
              <w:rPr>
                <w:rFonts w:eastAsia="宋体" w:cs="Times New Roman"/>
                <w:color w:val="000000"/>
                <w:kern w:val="2"/>
                <w:sz w:val="20"/>
                <w:szCs w:val="20"/>
              </w:rPr>
            </w:pPr>
            <w:r>
              <w:rPr>
                <w:rFonts w:cs="Times New Roman"/>
                <w:color w:val="000000"/>
                <w:sz w:val="20"/>
                <w:szCs w:val="20"/>
              </w:rPr>
              <w:t>(0.004122)</w:t>
            </w:r>
          </w:p>
        </w:tc>
        <w:tc>
          <w:tcPr>
            <w:tcW w:w="730" w:type="pct"/>
            <w:tcBorders>
              <w:top w:val="nil"/>
              <w:left w:val="nil"/>
              <w:bottom w:val="nil"/>
              <w:right w:val="nil"/>
            </w:tcBorders>
          </w:tcPr>
          <w:p w14:paraId="11585D24">
            <w:pPr>
              <w:pStyle w:val="69"/>
              <w:spacing w:line="360" w:lineRule="auto"/>
              <w:rPr>
                <w:rFonts w:ascii="Times New Roman" w:hAnsi="Times New Roman"/>
                <w:color w:val="000000"/>
                <w:sz w:val="20"/>
                <w:szCs w:val="20"/>
              </w:rPr>
            </w:pPr>
            <w:r>
              <w:rPr>
                <w:rFonts w:ascii="Times New Roman" w:hAnsi="Times New Roman"/>
                <w:color w:val="000000"/>
                <w:sz w:val="20"/>
                <w:szCs w:val="20"/>
              </w:rPr>
              <w:t>(0.0015544)</w:t>
            </w:r>
          </w:p>
        </w:tc>
        <w:tc>
          <w:tcPr>
            <w:tcW w:w="878" w:type="pct"/>
            <w:tcBorders>
              <w:top w:val="nil"/>
              <w:left w:val="nil"/>
              <w:bottom w:val="nil"/>
              <w:right w:val="nil"/>
            </w:tcBorders>
          </w:tcPr>
          <w:p w14:paraId="05F9FB68">
            <w:pPr>
              <w:pStyle w:val="69"/>
              <w:spacing w:line="360" w:lineRule="auto"/>
              <w:rPr>
                <w:rFonts w:ascii="Times New Roman" w:hAnsi="Times New Roman"/>
                <w:color w:val="000000"/>
                <w:sz w:val="20"/>
                <w:szCs w:val="20"/>
              </w:rPr>
            </w:pPr>
            <w:r>
              <w:rPr>
                <w:rFonts w:ascii="Times New Roman" w:hAnsi="Times New Roman"/>
                <w:color w:val="000000"/>
                <w:sz w:val="20"/>
                <w:szCs w:val="20"/>
              </w:rPr>
              <w:t>(0.0064711)</w:t>
            </w:r>
          </w:p>
        </w:tc>
        <w:tc>
          <w:tcPr>
            <w:tcW w:w="908" w:type="pct"/>
            <w:tcBorders>
              <w:top w:val="nil"/>
              <w:left w:val="nil"/>
              <w:bottom w:val="nil"/>
              <w:right w:val="nil"/>
            </w:tcBorders>
          </w:tcPr>
          <w:p w14:paraId="622E89A3">
            <w:pPr>
              <w:pStyle w:val="69"/>
              <w:spacing w:line="360" w:lineRule="auto"/>
              <w:rPr>
                <w:rFonts w:ascii="Times New Roman" w:hAnsi="Times New Roman"/>
                <w:color w:val="000000"/>
                <w:sz w:val="20"/>
                <w:szCs w:val="20"/>
              </w:rPr>
            </w:pPr>
            <w:r>
              <w:rPr>
                <w:rFonts w:ascii="Times New Roman" w:hAnsi="Times New Roman"/>
                <w:color w:val="000000"/>
                <w:sz w:val="20"/>
                <w:szCs w:val="20"/>
              </w:rPr>
              <w:t>(0.0009151)</w:t>
            </w:r>
          </w:p>
        </w:tc>
        <w:tc>
          <w:tcPr>
            <w:tcW w:w="907" w:type="pct"/>
            <w:tcBorders>
              <w:top w:val="nil"/>
              <w:left w:val="nil"/>
              <w:bottom w:val="nil"/>
              <w:right w:val="nil"/>
            </w:tcBorders>
          </w:tcPr>
          <w:p w14:paraId="2E632FA5">
            <w:pPr>
              <w:pStyle w:val="69"/>
              <w:spacing w:line="360" w:lineRule="auto"/>
              <w:rPr>
                <w:rFonts w:ascii="Times New Roman" w:hAnsi="Times New Roman"/>
                <w:color w:val="000000"/>
                <w:sz w:val="20"/>
                <w:szCs w:val="20"/>
              </w:rPr>
            </w:pPr>
            <w:r>
              <w:rPr>
                <w:rFonts w:ascii="Times New Roman" w:hAnsi="Times New Roman"/>
                <w:color w:val="000000"/>
                <w:sz w:val="20"/>
                <w:szCs w:val="20"/>
              </w:rPr>
              <w:t>(0.0053081)</w:t>
            </w:r>
          </w:p>
        </w:tc>
      </w:tr>
      <w:tr w14:paraId="3203F517">
        <w:tc>
          <w:tcPr>
            <w:tcW w:w="746" w:type="pct"/>
            <w:tcBorders>
              <w:top w:val="nil"/>
              <w:left w:val="nil"/>
              <w:bottom w:val="nil"/>
              <w:right w:val="nil"/>
            </w:tcBorders>
          </w:tcPr>
          <w:p w14:paraId="4297D3EE">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831" w:type="pct"/>
            <w:tcBorders>
              <w:top w:val="nil"/>
              <w:left w:val="nil"/>
              <w:bottom w:val="nil"/>
              <w:right w:val="nil"/>
            </w:tcBorders>
          </w:tcPr>
          <w:p w14:paraId="55AA3830">
            <w:pPr>
              <w:pStyle w:val="69"/>
              <w:spacing w:line="360" w:lineRule="auto"/>
              <w:rPr>
                <w:rFonts w:ascii="Times New Roman" w:hAnsi="Times New Roman"/>
                <w:color w:val="000000"/>
                <w:sz w:val="20"/>
                <w:szCs w:val="20"/>
              </w:rPr>
            </w:pPr>
            <w:r>
              <w:rPr>
                <w:rFonts w:ascii="Times New Roman" w:hAnsi="Times New Roman"/>
                <w:color w:val="000000"/>
                <w:sz w:val="20"/>
                <w:szCs w:val="20"/>
              </w:rPr>
              <w:t>0.0019478</w:t>
            </w:r>
          </w:p>
        </w:tc>
        <w:tc>
          <w:tcPr>
            <w:tcW w:w="730" w:type="pct"/>
            <w:tcBorders>
              <w:top w:val="nil"/>
              <w:left w:val="nil"/>
              <w:bottom w:val="nil"/>
              <w:right w:val="nil"/>
            </w:tcBorders>
          </w:tcPr>
          <w:p w14:paraId="7E3A6466">
            <w:pPr>
              <w:pStyle w:val="69"/>
              <w:spacing w:line="360" w:lineRule="auto"/>
              <w:rPr>
                <w:rFonts w:ascii="Times New Roman" w:hAnsi="Times New Roman"/>
                <w:color w:val="000000"/>
                <w:sz w:val="20"/>
                <w:szCs w:val="20"/>
              </w:rPr>
            </w:pPr>
            <w:r>
              <w:rPr>
                <w:rFonts w:ascii="Times New Roman" w:hAnsi="Times New Roman"/>
                <w:color w:val="000000"/>
                <w:sz w:val="20"/>
                <w:szCs w:val="20"/>
              </w:rPr>
              <w:t>-0.0186***</w:t>
            </w:r>
          </w:p>
        </w:tc>
        <w:tc>
          <w:tcPr>
            <w:tcW w:w="878" w:type="pct"/>
            <w:tcBorders>
              <w:top w:val="nil"/>
              <w:left w:val="nil"/>
              <w:bottom w:val="nil"/>
              <w:right w:val="nil"/>
            </w:tcBorders>
          </w:tcPr>
          <w:p w14:paraId="212A8A87">
            <w:pPr>
              <w:pStyle w:val="69"/>
              <w:spacing w:line="360" w:lineRule="auto"/>
              <w:rPr>
                <w:rFonts w:ascii="Times New Roman" w:hAnsi="Times New Roman"/>
                <w:color w:val="000000"/>
                <w:sz w:val="20"/>
                <w:szCs w:val="20"/>
              </w:rPr>
            </w:pPr>
            <w:r>
              <w:rPr>
                <w:rFonts w:ascii="Times New Roman" w:hAnsi="Times New Roman"/>
                <w:color w:val="000000"/>
                <w:sz w:val="20"/>
                <w:szCs w:val="20"/>
              </w:rPr>
              <w:t>0.0025411</w:t>
            </w:r>
          </w:p>
        </w:tc>
        <w:tc>
          <w:tcPr>
            <w:tcW w:w="908" w:type="pct"/>
            <w:tcBorders>
              <w:top w:val="nil"/>
              <w:left w:val="nil"/>
              <w:bottom w:val="nil"/>
              <w:right w:val="nil"/>
            </w:tcBorders>
          </w:tcPr>
          <w:p w14:paraId="78111F0D">
            <w:pPr>
              <w:pStyle w:val="69"/>
              <w:spacing w:line="360" w:lineRule="auto"/>
              <w:rPr>
                <w:rFonts w:ascii="Times New Roman" w:hAnsi="Times New Roman"/>
                <w:color w:val="000000"/>
                <w:sz w:val="20"/>
                <w:szCs w:val="20"/>
              </w:rPr>
            </w:pPr>
            <w:r>
              <w:rPr>
                <w:rFonts w:ascii="Times New Roman" w:hAnsi="Times New Roman"/>
                <w:color w:val="000000"/>
                <w:sz w:val="20"/>
                <w:szCs w:val="20"/>
              </w:rPr>
              <w:t>0.015778***</w:t>
            </w:r>
          </w:p>
        </w:tc>
        <w:tc>
          <w:tcPr>
            <w:tcW w:w="907" w:type="pct"/>
            <w:tcBorders>
              <w:top w:val="nil"/>
              <w:left w:val="nil"/>
              <w:bottom w:val="nil"/>
              <w:right w:val="nil"/>
            </w:tcBorders>
          </w:tcPr>
          <w:p w14:paraId="43E136E6">
            <w:pPr>
              <w:pStyle w:val="69"/>
              <w:spacing w:line="360" w:lineRule="auto"/>
              <w:rPr>
                <w:rFonts w:ascii="Times New Roman" w:hAnsi="Times New Roman"/>
                <w:color w:val="000000"/>
                <w:sz w:val="20"/>
                <w:szCs w:val="20"/>
              </w:rPr>
            </w:pPr>
            <w:r>
              <w:rPr>
                <w:rFonts w:ascii="Times New Roman" w:hAnsi="Times New Roman"/>
                <w:color w:val="000000"/>
                <w:sz w:val="20"/>
                <w:szCs w:val="20"/>
              </w:rPr>
              <w:t>-0.0039197</w:t>
            </w:r>
          </w:p>
        </w:tc>
      </w:tr>
      <w:tr w14:paraId="534A51D9">
        <w:tc>
          <w:tcPr>
            <w:tcW w:w="746" w:type="pct"/>
            <w:tcBorders>
              <w:top w:val="nil"/>
              <w:left w:val="nil"/>
              <w:bottom w:val="nil"/>
              <w:right w:val="nil"/>
            </w:tcBorders>
          </w:tcPr>
          <w:p w14:paraId="5CDE3D88">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54EB83DD">
            <w:pPr>
              <w:pStyle w:val="69"/>
              <w:spacing w:line="360" w:lineRule="auto"/>
              <w:rPr>
                <w:rFonts w:ascii="Times New Roman" w:hAnsi="Times New Roman"/>
                <w:color w:val="000000"/>
                <w:sz w:val="20"/>
                <w:szCs w:val="20"/>
              </w:rPr>
            </w:pPr>
            <w:r>
              <w:rPr>
                <w:rFonts w:ascii="Times New Roman" w:hAnsi="Times New Roman"/>
                <w:color w:val="000000"/>
                <w:sz w:val="20"/>
                <w:szCs w:val="20"/>
              </w:rPr>
              <w:t>(0.005553)</w:t>
            </w:r>
          </w:p>
        </w:tc>
        <w:tc>
          <w:tcPr>
            <w:tcW w:w="730" w:type="pct"/>
            <w:tcBorders>
              <w:top w:val="nil"/>
              <w:left w:val="nil"/>
              <w:bottom w:val="nil"/>
              <w:right w:val="nil"/>
            </w:tcBorders>
          </w:tcPr>
          <w:p w14:paraId="6A2E9FFB">
            <w:pPr>
              <w:pStyle w:val="69"/>
              <w:spacing w:line="360" w:lineRule="auto"/>
              <w:rPr>
                <w:rFonts w:ascii="Times New Roman" w:hAnsi="Times New Roman"/>
                <w:color w:val="000000"/>
                <w:sz w:val="20"/>
                <w:szCs w:val="20"/>
              </w:rPr>
            </w:pPr>
            <w:r>
              <w:rPr>
                <w:rFonts w:ascii="Times New Roman" w:hAnsi="Times New Roman"/>
                <w:color w:val="000000"/>
                <w:sz w:val="20"/>
                <w:szCs w:val="20"/>
              </w:rPr>
              <w:t>(0.0009373)</w:t>
            </w:r>
          </w:p>
        </w:tc>
        <w:tc>
          <w:tcPr>
            <w:tcW w:w="878" w:type="pct"/>
            <w:tcBorders>
              <w:top w:val="nil"/>
              <w:left w:val="nil"/>
              <w:bottom w:val="nil"/>
              <w:right w:val="nil"/>
            </w:tcBorders>
          </w:tcPr>
          <w:p w14:paraId="19BC5334">
            <w:pPr>
              <w:pStyle w:val="69"/>
              <w:spacing w:line="360" w:lineRule="auto"/>
              <w:rPr>
                <w:rFonts w:ascii="Times New Roman" w:hAnsi="Times New Roman"/>
                <w:color w:val="000000"/>
                <w:sz w:val="20"/>
                <w:szCs w:val="20"/>
              </w:rPr>
            </w:pPr>
            <w:r>
              <w:rPr>
                <w:rFonts w:ascii="Times New Roman" w:hAnsi="Times New Roman"/>
                <w:color w:val="000000"/>
                <w:sz w:val="20"/>
                <w:szCs w:val="20"/>
              </w:rPr>
              <w:t>(0.0053632)</w:t>
            </w:r>
          </w:p>
        </w:tc>
        <w:tc>
          <w:tcPr>
            <w:tcW w:w="908" w:type="pct"/>
            <w:tcBorders>
              <w:top w:val="nil"/>
              <w:left w:val="nil"/>
              <w:bottom w:val="nil"/>
              <w:right w:val="nil"/>
            </w:tcBorders>
          </w:tcPr>
          <w:p w14:paraId="68D09E65">
            <w:pPr>
              <w:pStyle w:val="69"/>
              <w:spacing w:line="360" w:lineRule="auto"/>
              <w:rPr>
                <w:rFonts w:ascii="Times New Roman" w:hAnsi="Times New Roman"/>
                <w:color w:val="000000"/>
                <w:sz w:val="20"/>
                <w:szCs w:val="20"/>
              </w:rPr>
            </w:pPr>
            <w:r>
              <w:rPr>
                <w:rFonts w:ascii="Times New Roman" w:hAnsi="Times New Roman"/>
                <w:color w:val="000000"/>
                <w:sz w:val="20"/>
                <w:szCs w:val="20"/>
              </w:rPr>
              <w:t>(0.0019325)</w:t>
            </w:r>
          </w:p>
        </w:tc>
        <w:tc>
          <w:tcPr>
            <w:tcW w:w="907" w:type="pct"/>
            <w:tcBorders>
              <w:top w:val="nil"/>
              <w:left w:val="nil"/>
              <w:bottom w:val="nil"/>
              <w:right w:val="nil"/>
            </w:tcBorders>
          </w:tcPr>
          <w:p w14:paraId="265984D9">
            <w:pPr>
              <w:pStyle w:val="69"/>
              <w:spacing w:line="360" w:lineRule="auto"/>
              <w:rPr>
                <w:rFonts w:ascii="Times New Roman" w:hAnsi="Times New Roman"/>
                <w:color w:val="000000"/>
                <w:sz w:val="20"/>
                <w:szCs w:val="20"/>
              </w:rPr>
            </w:pPr>
            <w:r>
              <w:rPr>
                <w:rFonts w:ascii="Times New Roman" w:hAnsi="Times New Roman"/>
                <w:color w:val="000000"/>
                <w:sz w:val="20"/>
                <w:szCs w:val="20"/>
              </w:rPr>
              <w:t>(0.0040789)</w:t>
            </w:r>
          </w:p>
        </w:tc>
      </w:tr>
      <w:tr w14:paraId="46DF9B5C">
        <w:trPr>
          <w:trHeight w:val="90" w:hRule="atLeast"/>
        </w:trPr>
        <w:tc>
          <w:tcPr>
            <w:tcW w:w="746" w:type="pct"/>
            <w:tcBorders>
              <w:top w:val="nil"/>
              <w:left w:val="nil"/>
              <w:bottom w:val="nil"/>
              <w:right w:val="nil"/>
            </w:tcBorders>
          </w:tcPr>
          <w:p w14:paraId="6532C394">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831" w:type="pct"/>
            <w:tcBorders>
              <w:top w:val="nil"/>
              <w:left w:val="nil"/>
              <w:bottom w:val="nil"/>
              <w:right w:val="nil"/>
            </w:tcBorders>
          </w:tcPr>
          <w:p w14:paraId="6785E51F">
            <w:pPr>
              <w:pStyle w:val="69"/>
              <w:spacing w:line="360" w:lineRule="auto"/>
              <w:rPr>
                <w:rFonts w:ascii="Times New Roman" w:hAnsi="Times New Roman"/>
                <w:color w:val="000000"/>
                <w:sz w:val="20"/>
                <w:szCs w:val="20"/>
              </w:rPr>
            </w:pPr>
            <w:r>
              <w:rPr>
                <w:rFonts w:ascii="Times New Roman" w:hAnsi="Times New Roman"/>
                <w:color w:val="000000"/>
                <w:sz w:val="20"/>
                <w:szCs w:val="20"/>
              </w:rPr>
              <w:t>0.977661***</w:t>
            </w:r>
          </w:p>
        </w:tc>
        <w:tc>
          <w:tcPr>
            <w:tcW w:w="730" w:type="pct"/>
            <w:tcBorders>
              <w:top w:val="nil"/>
              <w:left w:val="nil"/>
              <w:bottom w:val="nil"/>
              <w:right w:val="nil"/>
            </w:tcBorders>
          </w:tcPr>
          <w:p w14:paraId="16B3C6BB">
            <w:pPr>
              <w:pStyle w:val="69"/>
              <w:spacing w:line="360" w:lineRule="auto"/>
              <w:rPr>
                <w:rFonts w:ascii="Times New Roman" w:hAnsi="Times New Roman"/>
                <w:color w:val="000000"/>
                <w:sz w:val="20"/>
                <w:szCs w:val="20"/>
              </w:rPr>
            </w:pPr>
            <w:r>
              <w:rPr>
                <w:rFonts w:ascii="Times New Roman" w:hAnsi="Times New Roman"/>
                <w:color w:val="000000"/>
                <w:sz w:val="20"/>
                <w:szCs w:val="20"/>
              </w:rPr>
              <w:t>1.28619***</w:t>
            </w:r>
          </w:p>
        </w:tc>
        <w:tc>
          <w:tcPr>
            <w:tcW w:w="878" w:type="pct"/>
            <w:tcBorders>
              <w:top w:val="nil"/>
              <w:left w:val="nil"/>
              <w:bottom w:val="nil"/>
              <w:right w:val="nil"/>
            </w:tcBorders>
          </w:tcPr>
          <w:p w14:paraId="09DBC010">
            <w:pPr>
              <w:pStyle w:val="69"/>
              <w:spacing w:line="360" w:lineRule="auto"/>
              <w:rPr>
                <w:rFonts w:ascii="Times New Roman" w:hAnsi="Times New Roman"/>
                <w:color w:val="000000"/>
                <w:sz w:val="20"/>
                <w:szCs w:val="20"/>
              </w:rPr>
            </w:pPr>
            <w:r>
              <w:rPr>
                <w:rFonts w:ascii="Times New Roman" w:hAnsi="Times New Roman"/>
                <w:color w:val="000000"/>
                <w:sz w:val="20"/>
                <w:szCs w:val="20"/>
              </w:rPr>
              <w:t>0.9996287</w:t>
            </w:r>
          </w:p>
        </w:tc>
        <w:tc>
          <w:tcPr>
            <w:tcW w:w="908" w:type="pct"/>
            <w:tcBorders>
              <w:top w:val="nil"/>
              <w:left w:val="nil"/>
              <w:bottom w:val="nil"/>
              <w:right w:val="nil"/>
            </w:tcBorders>
          </w:tcPr>
          <w:p w14:paraId="4E63EE45">
            <w:pPr>
              <w:pStyle w:val="69"/>
              <w:spacing w:line="360" w:lineRule="auto"/>
              <w:rPr>
                <w:rFonts w:ascii="Times New Roman" w:hAnsi="Times New Roman"/>
                <w:color w:val="000000"/>
                <w:sz w:val="20"/>
                <w:szCs w:val="20"/>
              </w:rPr>
            </w:pPr>
            <w:r>
              <w:rPr>
                <w:rFonts w:ascii="Times New Roman" w:hAnsi="Times New Roman"/>
                <w:color w:val="000000"/>
                <w:sz w:val="20"/>
                <w:szCs w:val="20"/>
              </w:rPr>
              <w:t>-0.20429***</w:t>
            </w:r>
          </w:p>
        </w:tc>
        <w:tc>
          <w:tcPr>
            <w:tcW w:w="907" w:type="pct"/>
            <w:tcBorders>
              <w:top w:val="nil"/>
              <w:left w:val="nil"/>
              <w:bottom w:val="nil"/>
              <w:right w:val="nil"/>
            </w:tcBorders>
          </w:tcPr>
          <w:p w14:paraId="6AB89957">
            <w:pPr>
              <w:pStyle w:val="69"/>
              <w:spacing w:line="360" w:lineRule="auto"/>
              <w:rPr>
                <w:rFonts w:ascii="Times New Roman" w:hAnsi="Times New Roman"/>
                <w:color w:val="000000"/>
                <w:sz w:val="20"/>
                <w:szCs w:val="20"/>
              </w:rPr>
            </w:pPr>
            <w:r>
              <w:rPr>
                <w:rFonts w:ascii="Times New Roman" w:hAnsi="Times New Roman"/>
                <w:color w:val="000000"/>
                <w:sz w:val="20"/>
                <w:szCs w:val="20"/>
              </w:rPr>
              <w:t>0.7969897**</w:t>
            </w:r>
          </w:p>
        </w:tc>
      </w:tr>
      <w:tr w14:paraId="2C424CB0">
        <w:tc>
          <w:tcPr>
            <w:tcW w:w="746" w:type="pct"/>
            <w:tcBorders>
              <w:top w:val="nil"/>
              <w:left w:val="nil"/>
              <w:bottom w:val="nil"/>
              <w:right w:val="nil"/>
            </w:tcBorders>
          </w:tcPr>
          <w:p w14:paraId="0B5802D3">
            <w:pPr>
              <w:pStyle w:val="69"/>
              <w:spacing w:line="360" w:lineRule="auto"/>
              <w:rPr>
                <w:rFonts w:ascii="Times New Roman" w:hAnsi="Times New Roman"/>
                <w:color w:val="000000"/>
                <w:sz w:val="20"/>
                <w:szCs w:val="20"/>
              </w:rPr>
            </w:pPr>
          </w:p>
        </w:tc>
        <w:tc>
          <w:tcPr>
            <w:tcW w:w="831" w:type="pct"/>
            <w:tcBorders>
              <w:top w:val="nil"/>
              <w:left w:val="nil"/>
              <w:bottom w:val="nil"/>
              <w:right w:val="nil"/>
            </w:tcBorders>
          </w:tcPr>
          <w:p w14:paraId="4A71096E">
            <w:pPr>
              <w:pStyle w:val="69"/>
              <w:spacing w:line="360" w:lineRule="auto"/>
              <w:rPr>
                <w:rFonts w:ascii="Times New Roman" w:hAnsi="Times New Roman"/>
                <w:color w:val="000000"/>
                <w:sz w:val="20"/>
                <w:szCs w:val="20"/>
              </w:rPr>
            </w:pPr>
            <w:r>
              <w:rPr>
                <w:rFonts w:ascii="Times New Roman" w:hAnsi="Times New Roman"/>
                <w:color w:val="000000"/>
                <w:sz w:val="20"/>
                <w:szCs w:val="20"/>
              </w:rPr>
              <w:t>(0.1983549)</w:t>
            </w:r>
          </w:p>
        </w:tc>
        <w:tc>
          <w:tcPr>
            <w:tcW w:w="730" w:type="pct"/>
            <w:tcBorders>
              <w:top w:val="nil"/>
              <w:left w:val="nil"/>
              <w:bottom w:val="nil"/>
              <w:right w:val="nil"/>
            </w:tcBorders>
          </w:tcPr>
          <w:p w14:paraId="6D83A450">
            <w:pPr>
              <w:pStyle w:val="69"/>
              <w:spacing w:line="360" w:lineRule="auto"/>
              <w:rPr>
                <w:rFonts w:ascii="Times New Roman" w:hAnsi="Times New Roman"/>
                <w:color w:val="000000"/>
                <w:sz w:val="20"/>
                <w:szCs w:val="20"/>
              </w:rPr>
            </w:pPr>
            <w:r>
              <w:rPr>
                <w:rFonts w:ascii="Times New Roman" w:hAnsi="Times New Roman"/>
                <w:color w:val="000000"/>
                <w:sz w:val="20"/>
                <w:szCs w:val="20"/>
              </w:rPr>
              <w:t>(0.1169551)</w:t>
            </w:r>
          </w:p>
        </w:tc>
        <w:tc>
          <w:tcPr>
            <w:tcW w:w="878" w:type="pct"/>
            <w:tcBorders>
              <w:top w:val="nil"/>
              <w:left w:val="nil"/>
              <w:bottom w:val="nil"/>
              <w:right w:val="nil"/>
            </w:tcBorders>
          </w:tcPr>
          <w:p w14:paraId="6E438BB8">
            <w:pPr>
              <w:pStyle w:val="69"/>
              <w:spacing w:line="360" w:lineRule="auto"/>
              <w:rPr>
                <w:rFonts w:ascii="Times New Roman" w:hAnsi="Times New Roman"/>
                <w:color w:val="000000"/>
                <w:sz w:val="20"/>
                <w:szCs w:val="20"/>
              </w:rPr>
            </w:pPr>
            <w:r>
              <w:rPr>
                <w:rFonts w:ascii="Times New Roman" w:hAnsi="Times New Roman"/>
                <w:color w:val="000000"/>
                <w:sz w:val="20"/>
                <w:szCs w:val="20"/>
              </w:rPr>
              <w:t>(0.6289872)</w:t>
            </w:r>
          </w:p>
        </w:tc>
        <w:tc>
          <w:tcPr>
            <w:tcW w:w="908" w:type="pct"/>
            <w:tcBorders>
              <w:top w:val="nil"/>
              <w:left w:val="nil"/>
              <w:bottom w:val="nil"/>
              <w:right w:val="nil"/>
            </w:tcBorders>
          </w:tcPr>
          <w:p w14:paraId="3053F905">
            <w:pPr>
              <w:pStyle w:val="69"/>
              <w:spacing w:line="360" w:lineRule="auto"/>
              <w:rPr>
                <w:rFonts w:ascii="Times New Roman" w:hAnsi="Times New Roman"/>
                <w:color w:val="000000"/>
                <w:sz w:val="20"/>
                <w:szCs w:val="20"/>
              </w:rPr>
            </w:pPr>
            <w:r>
              <w:rPr>
                <w:rFonts w:ascii="Times New Roman" w:hAnsi="Times New Roman"/>
                <w:color w:val="000000"/>
                <w:sz w:val="20"/>
                <w:szCs w:val="20"/>
              </w:rPr>
              <w:t>(0.0601389)</w:t>
            </w:r>
          </w:p>
        </w:tc>
        <w:tc>
          <w:tcPr>
            <w:tcW w:w="907" w:type="pct"/>
            <w:tcBorders>
              <w:top w:val="nil"/>
              <w:left w:val="nil"/>
              <w:bottom w:val="nil"/>
              <w:right w:val="nil"/>
            </w:tcBorders>
          </w:tcPr>
          <w:p w14:paraId="2085134E">
            <w:pPr>
              <w:pStyle w:val="69"/>
              <w:spacing w:line="360" w:lineRule="auto"/>
              <w:rPr>
                <w:rFonts w:ascii="Times New Roman" w:hAnsi="Times New Roman"/>
                <w:color w:val="000000"/>
                <w:sz w:val="20"/>
                <w:szCs w:val="20"/>
              </w:rPr>
            </w:pPr>
            <w:r>
              <w:rPr>
                <w:rFonts w:ascii="Times New Roman" w:hAnsi="Times New Roman"/>
                <w:color w:val="000000"/>
                <w:sz w:val="20"/>
                <w:szCs w:val="20"/>
              </w:rPr>
              <w:t>(0.3749119)</w:t>
            </w:r>
          </w:p>
        </w:tc>
      </w:tr>
      <w:tr w14:paraId="7CFE638B">
        <w:tc>
          <w:tcPr>
            <w:tcW w:w="746" w:type="pct"/>
            <w:tcBorders>
              <w:top w:val="nil"/>
              <w:left w:val="nil"/>
              <w:bottom w:val="nil"/>
              <w:right w:val="nil"/>
            </w:tcBorders>
          </w:tcPr>
          <w:p w14:paraId="0684BC01">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831" w:type="pct"/>
            <w:tcBorders>
              <w:top w:val="nil"/>
              <w:left w:val="nil"/>
              <w:bottom w:val="nil"/>
              <w:right w:val="nil"/>
            </w:tcBorders>
          </w:tcPr>
          <w:p w14:paraId="2D2D3174">
            <w:pPr>
              <w:pStyle w:val="69"/>
              <w:spacing w:line="360" w:lineRule="auto"/>
              <w:rPr>
                <w:rFonts w:ascii="Times New Roman" w:hAnsi="Times New Roman"/>
                <w:color w:val="000000"/>
                <w:sz w:val="20"/>
                <w:szCs w:val="20"/>
              </w:rPr>
            </w:pPr>
            <w:r>
              <w:rPr>
                <w:rFonts w:ascii="Times New Roman" w:hAnsi="Times New Roman"/>
                <w:color w:val="000000"/>
                <w:sz w:val="20"/>
                <w:szCs w:val="20"/>
              </w:rPr>
              <w:t>-0.2286799**</w:t>
            </w:r>
          </w:p>
        </w:tc>
        <w:tc>
          <w:tcPr>
            <w:tcW w:w="730" w:type="pct"/>
            <w:tcBorders>
              <w:top w:val="nil"/>
              <w:left w:val="nil"/>
              <w:bottom w:val="nil"/>
              <w:right w:val="nil"/>
            </w:tcBorders>
          </w:tcPr>
          <w:p w14:paraId="39CF06BC">
            <w:pPr>
              <w:pStyle w:val="69"/>
              <w:spacing w:line="360" w:lineRule="auto"/>
              <w:rPr>
                <w:rFonts w:ascii="Times New Roman" w:hAnsi="Times New Roman"/>
                <w:color w:val="000000"/>
                <w:sz w:val="20"/>
                <w:szCs w:val="20"/>
              </w:rPr>
            </w:pPr>
            <w:r>
              <w:rPr>
                <w:rFonts w:ascii="Times New Roman" w:hAnsi="Times New Roman"/>
                <w:color w:val="000000"/>
                <w:sz w:val="20"/>
                <w:szCs w:val="20"/>
              </w:rPr>
              <w:t>0.75807***</w:t>
            </w:r>
          </w:p>
        </w:tc>
        <w:tc>
          <w:tcPr>
            <w:tcW w:w="878" w:type="pct"/>
            <w:tcBorders>
              <w:top w:val="nil"/>
              <w:left w:val="nil"/>
              <w:bottom w:val="nil"/>
              <w:right w:val="nil"/>
            </w:tcBorders>
          </w:tcPr>
          <w:p w14:paraId="56421ABC">
            <w:pPr>
              <w:pStyle w:val="69"/>
              <w:spacing w:line="360" w:lineRule="auto"/>
              <w:rPr>
                <w:rFonts w:ascii="Times New Roman" w:hAnsi="Times New Roman"/>
                <w:color w:val="000000"/>
                <w:sz w:val="20"/>
                <w:szCs w:val="20"/>
              </w:rPr>
            </w:pPr>
            <w:r>
              <w:rPr>
                <w:rFonts w:ascii="Times New Roman" w:hAnsi="Times New Roman"/>
                <w:color w:val="000000"/>
                <w:sz w:val="20"/>
                <w:szCs w:val="20"/>
              </w:rPr>
              <w:t>-1.626502***</w:t>
            </w:r>
          </w:p>
        </w:tc>
        <w:tc>
          <w:tcPr>
            <w:tcW w:w="908" w:type="pct"/>
            <w:tcBorders>
              <w:top w:val="nil"/>
              <w:left w:val="nil"/>
              <w:bottom w:val="nil"/>
              <w:right w:val="nil"/>
            </w:tcBorders>
          </w:tcPr>
          <w:p w14:paraId="4108803A">
            <w:pPr>
              <w:pStyle w:val="69"/>
              <w:spacing w:line="360" w:lineRule="auto"/>
              <w:rPr>
                <w:rFonts w:ascii="Times New Roman" w:hAnsi="Times New Roman"/>
                <w:color w:val="000000"/>
                <w:sz w:val="20"/>
                <w:szCs w:val="20"/>
              </w:rPr>
            </w:pPr>
            <w:r>
              <w:rPr>
                <w:rFonts w:ascii="Times New Roman" w:hAnsi="Times New Roman"/>
                <w:color w:val="000000"/>
                <w:sz w:val="20"/>
                <w:szCs w:val="20"/>
              </w:rPr>
              <w:t>-0.0119743</w:t>
            </w:r>
          </w:p>
        </w:tc>
        <w:tc>
          <w:tcPr>
            <w:tcW w:w="907" w:type="pct"/>
            <w:tcBorders>
              <w:top w:val="nil"/>
              <w:left w:val="nil"/>
              <w:bottom w:val="nil"/>
              <w:right w:val="nil"/>
            </w:tcBorders>
          </w:tcPr>
          <w:p w14:paraId="7E2C1A6B">
            <w:pPr>
              <w:pStyle w:val="69"/>
              <w:spacing w:line="360" w:lineRule="auto"/>
              <w:rPr>
                <w:rFonts w:ascii="Times New Roman" w:hAnsi="Times New Roman"/>
                <w:color w:val="000000"/>
                <w:sz w:val="20"/>
                <w:szCs w:val="20"/>
              </w:rPr>
            </w:pPr>
            <w:r>
              <w:rPr>
                <w:rFonts w:ascii="Times New Roman" w:hAnsi="Times New Roman"/>
                <w:color w:val="000000"/>
                <w:sz w:val="20"/>
                <w:szCs w:val="20"/>
              </w:rPr>
              <w:t>-0.3316512**</w:t>
            </w:r>
          </w:p>
        </w:tc>
      </w:tr>
      <w:tr w14:paraId="698C0C2B">
        <w:trPr>
          <w:trHeight w:val="411" w:hRule="atLeast"/>
        </w:trPr>
        <w:tc>
          <w:tcPr>
            <w:tcW w:w="746" w:type="pct"/>
            <w:tcBorders>
              <w:top w:val="nil"/>
              <w:left w:val="nil"/>
              <w:bottom w:val="single" w:color="auto" w:sz="4" w:space="0"/>
              <w:right w:val="nil"/>
            </w:tcBorders>
          </w:tcPr>
          <w:p w14:paraId="463DC242">
            <w:pPr>
              <w:pStyle w:val="69"/>
              <w:spacing w:line="360" w:lineRule="auto"/>
              <w:rPr>
                <w:rFonts w:ascii="Times New Roman" w:hAnsi="Times New Roman"/>
                <w:color w:val="000000"/>
                <w:sz w:val="20"/>
                <w:szCs w:val="20"/>
              </w:rPr>
            </w:pPr>
          </w:p>
        </w:tc>
        <w:tc>
          <w:tcPr>
            <w:tcW w:w="831" w:type="pct"/>
            <w:tcBorders>
              <w:top w:val="nil"/>
              <w:left w:val="nil"/>
              <w:bottom w:val="single" w:color="auto" w:sz="4" w:space="0"/>
              <w:right w:val="nil"/>
            </w:tcBorders>
          </w:tcPr>
          <w:p w14:paraId="4A523412">
            <w:pPr>
              <w:pStyle w:val="69"/>
              <w:spacing w:line="360" w:lineRule="auto"/>
              <w:rPr>
                <w:rFonts w:ascii="Times New Roman" w:hAnsi="Times New Roman"/>
                <w:color w:val="000000"/>
                <w:sz w:val="20"/>
                <w:szCs w:val="20"/>
              </w:rPr>
            </w:pPr>
            <w:r>
              <w:rPr>
                <w:rFonts w:ascii="Times New Roman" w:hAnsi="Times New Roman"/>
                <w:color w:val="000000"/>
                <w:sz w:val="20"/>
                <w:szCs w:val="20"/>
              </w:rPr>
              <w:t>(0.1265349)</w:t>
            </w:r>
          </w:p>
        </w:tc>
        <w:tc>
          <w:tcPr>
            <w:tcW w:w="730" w:type="pct"/>
            <w:tcBorders>
              <w:top w:val="nil"/>
              <w:left w:val="nil"/>
              <w:bottom w:val="single" w:color="auto" w:sz="4" w:space="0"/>
              <w:right w:val="nil"/>
            </w:tcBorders>
          </w:tcPr>
          <w:p w14:paraId="4EA46510">
            <w:pPr>
              <w:pStyle w:val="69"/>
              <w:spacing w:line="360" w:lineRule="auto"/>
              <w:rPr>
                <w:rFonts w:ascii="Times New Roman" w:hAnsi="Times New Roman"/>
                <w:color w:val="000000"/>
                <w:sz w:val="20"/>
                <w:szCs w:val="20"/>
              </w:rPr>
            </w:pPr>
            <w:r>
              <w:rPr>
                <w:rFonts w:ascii="Times New Roman" w:hAnsi="Times New Roman"/>
                <w:color w:val="000000"/>
                <w:sz w:val="20"/>
                <w:szCs w:val="20"/>
              </w:rPr>
              <w:t>(0.046547)</w:t>
            </w:r>
          </w:p>
        </w:tc>
        <w:tc>
          <w:tcPr>
            <w:tcW w:w="878" w:type="pct"/>
            <w:tcBorders>
              <w:top w:val="nil"/>
              <w:left w:val="nil"/>
              <w:bottom w:val="single" w:color="auto" w:sz="4" w:space="0"/>
              <w:right w:val="nil"/>
            </w:tcBorders>
          </w:tcPr>
          <w:p w14:paraId="13C5FE71">
            <w:pPr>
              <w:pStyle w:val="69"/>
              <w:spacing w:line="360" w:lineRule="auto"/>
              <w:rPr>
                <w:rFonts w:ascii="Times New Roman" w:hAnsi="Times New Roman"/>
                <w:color w:val="000000"/>
                <w:sz w:val="20"/>
                <w:szCs w:val="20"/>
              </w:rPr>
            </w:pPr>
            <w:r>
              <w:rPr>
                <w:rFonts w:ascii="Times New Roman" w:hAnsi="Times New Roman"/>
                <w:color w:val="000000"/>
                <w:sz w:val="20"/>
                <w:szCs w:val="20"/>
              </w:rPr>
              <w:t>(0.1498222)</w:t>
            </w:r>
          </w:p>
        </w:tc>
        <w:tc>
          <w:tcPr>
            <w:tcW w:w="908" w:type="pct"/>
            <w:tcBorders>
              <w:top w:val="nil"/>
              <w:left w:val="nil"/>
              <w:bottom w:val="single" w:color="auto" w:sz="4" w:space="0"/>
              <w:right w:val="nil"/>
            </w:tcBorders>
          </w:tcPr>
          <w:p w14:paraId="2DBEF08C">
            <w:pPr>
              <w:pStyle w:val="69"/>
              <w:spacing w:line="360" w:lineRule="auto"/>
              <w:rPr>
                <w:rFonts w:ascii="Times New Roman" w:hAnsi="Times New Roman"/>
                <w:color w:val="000000"/>
                <w:sz w:val="20"/>
                <w:szCs w:val="20"/>
              </w:rPr>
            </w:pPr>
            <w:r>
              <w:rPr>
                <w:rFonts w:ascii="Times New Roman" w:hAnsi="Times New Roman"/>
                <w:color w:val="000000"/>
                <w:sz w:val="20"/>
                <w:szCs w:val="20"/>
              </w:rPr>
              <w:t>(0.0333138)</w:t>
            </w:r>
          </w:p>
        </w:tc>
        <w:tc>
          <w:tcPr>
            <w:tcW w:w="907" w:type="pct"/>
            <w:tcBorders>
              <w:top w:val="nil"/>
              <w:left w:val="nil"/>
              <w:bottom w:val="single" w:color="auto" w:sz="4" w:space="0"/>
              <w:right w:val="nil"/>
            </w:tcBorders>
          </w:tcPr>
          <w:p w14:paraId="111EE6E1">
            <w:pPr>
              <w:pStyle w:val="69"/>
              <w:spacing w:line="360" w:lineRule="auto"/>
              <w:rPr>
                <w:rFonts w:ascii="Times New Roman" w:hAnsi="Times New Roman"/>
                <w:color w:val="000000"/>
                <w:sz w:val="20"/>
                <w:szCs w:val="20"/>
              </w:rPr>
            </w:pPr>
            <w:r>
              <w:rPr>
                <w:rFonts w:ascii="Times New Roman" w:hAnsi="Times New Roman"/>
                <w:color w:val="000000"/>
                <w:sz w:val="20"/>
                <w:szCs w:val="20"/>
              </w:rPr>
              <w:t>(0.1454747)</w:t>
            </w:r>
          </w:p>
        </w:tc>
      </w:tr>
      <w:tr w14:paraId="4D517D76">
        <w:trPr>
          <w:trHeight w:val="411" w:hRule="atLeast"/>
        </w:trPr>
        <w:tc>
          <w:tcPr>
            <w:tcW w:w="746" w:type="pct"/>
            <w:tcBorders>
              <w:top w:val="single" w:color="auto" w:sz="4" w:space="0"/>
              <w:left w:val="nil"/>
              <w:bottom w:val="nil"/>
              <w:right w:val="nil"/>
            </w:tcBorders>
          </w:tcPr>
          <w:p w14:paraId="3CBBC3EF">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831" w:type="pct"/>
            <w:tcBorders>
              <w:top w:val="single" w:color="auto" w:sz="4" w:space="0"/>
              <w:left w:val="nil"/>
              <w:bottom w:val="nil"/>
              <w:right w:val="nil"/>
            </w:tcBorders>
          </w:tcPr>
          <w:p w14:paraId="0A587A66">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730" w:type="pct"/>
            <w:tcBorders>
              <w:top w:val="single" w:color="auto" w:sz="4" w:space="0"/>
              <w:left w:val="nil"/>
              <w:bottom w:val="nil"/>
              <w:right w:val="nil"/>
            </w:tcBorders>
          </w:tcPr>
          <w:p w14:paraId="7F5C54F9">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78" w:type="pct"/>
            <w:tcBorders>
              <w:top w:val="single" w:color="auto" w:sz="4" w:space="0"/>
              <w:left w:val="nil"/>
              <w:bottom w:val="nil"/>
              <w:right w:val="nil"/>
            </w:tcBorders>
          </w:tcPr>
          <w:p w14:paraId="1434BDF6">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08" w:type="pct"/>
            <w:tcBorders>
              <w:top w:val="single" w:color="auto" w:sz="4" w:space="0"/>
              <w:left w:val="nil"/>
              <w:bottom w:val="nil"/>
              <w:right w:val="nil"/>
            </w:tcBorders>
          </w:tcPr>
          <w:p w14:paraId="46683041">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07" w:type="pct"/>
            <w:tcBorders>
              <w:top w:val="single" w:color="auto" w:sz="4" w:space="0"/>
              <w:left w:val="nil"/>
              <w:bottom w:val="nil"/>
              <w:right w:val="nil"/>
            </w:tcBorders>
          </w:tcPr>
          <w:p w14:paraId="260FF5B2">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79BC964A">
        <w:trPr>
          <w:trHeight w:val="411" w:hRule="atLeast"/>
        </w:trPr>
        <w:tc>
          <w:tcPr>
            <w:tcW w:w="746" w:type="pct"/>
            <w:tcBorders>
              <w:top w:val="nil"/>
              <w:left w:val="nil"/>
              <w:bottom w:val="single" w:color="000000" w:sz="4" w:space="0"/>
              <w:right w:val="nil"/>
            </w:tcBorders>
          </w:tcPr>
          <w:p w14:paraId="4A4702DD">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831" w:type="pct"/>
            <w:tcBorders>
              <w:top w:val="nil"/>
              <w:left w:val="nil"/>
              <w:bottom w:val="single" w:color="000000" w:sz="4" w:space="0"/>
              <w:right w:val="nil"/>
            </w:tcBorders>
          </w:tcPr>
          <w:p w14:paraId="2145C0D0">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730" w:type="pct"/>
            <w:tcBorders>
              <w:top w:val="nil"/>
              <w:left w:val="nil"/>
              <w:bottom w:val="single" w:color="000000" w:sz="4" w:space="0"/>
              <w:right w:val="nil"/>
            </w:tcBorders>
          </w:tcPr>
          <w:p w14:paraId="0C02ADF4">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78" w:type="pct"/>
            <w:tcBorders>
              <w:top w:val="nil"/>
              <w:left w:val="nil"/>
              <w:bottom w:val="single" w:color="000000" w:sz="4" w:space="0"/>
              <w:right w:val="nil"/>
            </w:tcBorders>
          </w:tcPr>
          <w:p w14:paraId="5DD81A91">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08" w:type="pct"/>
            <w:tcBorders>
              <w:top w:val="nil"/>
              <w:left w:val="nil"/>
              <w:bottom w:val="single" w:color="000000" w:sz="4" w:space="0"/>
              <w:right w:val="nil"/>
            </w:tcBorders>
          </w:tcPr>
          <w:p w14:paraId="46801DF8">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07" w:type="pct"/>
            <w:tcBorders>
              <w:top w:val="nil"/>
              <w:left w:val="nil"/>
              <w:bottom w:val="single" w:color="000000" w:sz="4" w:space="0"/>
              <w:right w:val="nil"/>
            </w:tcBorders>
          </w:tcPr>
          <w:p w14:paraId="3C0A7F26">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tbl>
    <w:p w14:paraId="3EA00F09">
      <w:pPr>
        <w:pStyle w:val="7"/>
      </w:pPr>
      <w:bookmarkStart w:id="132" w:name="_Toc216867804"/>
      <w:r>
        <w:t xml:space="preserve">Table </w:t>
      </w:r>
      <w:r>
        <w:rPr>
          <w:rFonts w:hint="eastAsia" w:eastAsia="宋体"/>
          <w:lang w:val="en-US" w:eastAsia="zh-CN"/>
        </w:rPr>
        <w:t>15</w:t>
      </w:r>
      <w:r>
        <w:t xml:space="preserve"> Robustness Test Using Quantile (τ = 0.75 Model 1)</w:t>
      </w:r>
      <w:bookmarkEnd w:id="132"/>
    </w:p>
    <w:tbl>
      <w:tblPr>
        <w:tblStyle w:val="25"/>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299"/>
        <w:gridCol w:w="1402"/>
        <w:gridCol w:w="1613"/>
        <w:gridCol w:w="1402"/>
        <w:gridCol w:w="1461"/>
      </w:tblGrid>
      <w:tr w14:paraId="25CDA9A9">
        <w:tc>
          <w:tcPr>
            <w:tcW w:w="746" w:type="pct"/>
            <w:tcBorders>
              <w:top w:val="single" w:color="auto" w:sz="4" w:space="0"/>
              <w:left w:val="nil"/>
              <w:bottom w:val="nil"/>
              <w:right w:val="nil"/>
            </w:tcBorders>
          </w:tcPr>
          <w:p w14:paraId="1D6D9ACC">
            <w:pPr>
              <w:pStyle w:val="69"/>
              <w:spacing w:line="360" w:lineRule="auto"/>
              <w:rPr>
                <w:rFonts w:ascii="Times New Roman" w:hAnsi="Times New Roman"/>
                <w:color w:val="000000"/>
                <w:sz w:val="20"/>
                <w:szCs w:val="20"/>
              </w:rPr>
            </w:pPr>
            <w:r>
              <w:rPr>
                <w:rFonts w:ascii="Times New Roman" w:hAnsi="Times New Roman"/>
                <w:color w:val="000000"/>
                <w:sz w:val="20"/>
                <w:szCs w:val="20"/>
              </w:rPr>
              <w:t>Dependent variable</w:t>
            </w:r>
          </w:p>
        </w:tc>
        <w:tc>
          <w:tcPr>
            <w:tcW w:w="770" w:type="pct"/>
            <w:tcBorders>
              <w:top w:val="single" w:color="auto" w:sz="4" w:space="0"/>
              <w:left w:val="nil"/>
              <w:bottom w:val="single" w:color="auto" w:sz="4" w:space="0"/>
              <w:right w:val="nil"/>
            </w:tcBorders>
            <w:vAlign w:val="center"/>
          </w:tcPr>
          <w:p w14:paraId="10D84560">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(1) GDP </w:t>
            </w:r>
            <w:r>
              <w:rPr>
                <w:rFonts w:ascii="Times New Roman" w:hAnsi="Times New Roman"/>
                <w:color w:val="000000"/>
                <w:kern w:val="0"/>
                <w:sz w:val="20"/>
                <w:szCs w:val="20"/>
              </w:rPr>
              <w:t>(τ = 0.75)</w:t>
            </w:r>
          </w:p>
        </w:tc>
        <w:tc>
          <w:tcPr>
            <w:tcW w:w="831" w:type="pct"/>
            <w:tcBorders>
              <w:top w:val="single" w:color="auto" w:sz="4" w:space="0"/>
              <w:left w:val="nil"/>
              <w:bottom w:val="single" w:color="auto" w:sz="4" w:space="0"/>
              <w:right w:val="nil"/>
            </w:tcBorders>
            <w:vAlign w:val="center"/>
          </w:tcPr>
          <w:p w14:paraId="53EA2F5E">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(2) UE </w:t>
            </w:r>
            <w:r>
              <w:rPr>
                <w:rFonts w:ascii="Times New Roman" w:hAnsi="Times New Roman"/>
                <w:color w:val="000000"/>
                <w:kern w:val="0"/>
                <w:sz w:val="20"/>
                <w:szCs w:val="20"/>
              </w:rPr>
              <w:t>(τ = 0.75)</w:t>
            </w:r>
          </w:p>
        </w:tc>
        <w:tc>
          <w:tcPr>
            <w:tcW w:w="956" w:type="pct"/>
            <w:tcBorders>
              <w:top w:val="single" w:color="auto" w:sz="4" w:space="0"/>
              <w:left w:val="nil"/>
              <w:bottom w:val="single" w:color="auto" w:sz="4" w:space="0"/>
              <w:right w:val="nil"/>
            </w:tcBorders>
            <w:vAlign w:val="center"/>
          </w:tcPr>
          <w:p w14:paraId="5A280B87">
            <w:pPr>
              <w:pStyle w:val="69"/>
              <w:spacing w:line="360" w:lineRule="auto"/>
              <w:rPr>
                <w:rFonts w:ascii="Times New Roman" w:hAnsi="Times New Roman"/>
                <w:color w:val="000000"/>
                <w:sz w:val="20"/>
                <w:szCs w:val="20"/>
              </w:rPr>
            </w:pPr>
            <w:r>
              <w:rPr>
                <w:rFonts w:ascii="Times New Roman" w:hAnsi="Times New Roman"/>
                <w:color w:val="000000"/>
                <w:sz w:val="20"/>
                <w:szCs w:val="20"/>
              </w:rPr>
              <w:t>(3) AR (</w:t>
            </w:r>
            <w:r>
              <w:rPr>
                <w:rFonts w:ascii="Times New Roman" w:hAnsi="Times New Roman"/>
                <w:color w:val="000000"/>
                <w:kern w:val="0"/>
                <w:sz w:val="20"/>
                <w:szCs w:val="20"/>
              </w:rPr>
              <w:t>τ = 0.75)</w:t>
            </w:r>
          </w:p>
        </w:tc>
        <w:tc>
          <w:tcPr>
            <w:tcW w:w="831" w:type="pct"/>
            <w:tcBorders>
              <w:top w:val="single" w:color="auto" w:sz="4" w:space="0"/>
              <w:left w:val="nil"/>
              <w:bottom w:val="single" w:color="auto" w:sz="4" w:space="0"/>
              <w:right w:val="nil"/>
            </w:tcBorders>
            <w:vAlign w:val="center"/>
          </w:tcPr>
          <w:p w14:paraId="4D4F26D7">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(4) FDI </w:t>
            </w:r>
            <w:r>
              <w:rPr>
                <w:rFonts w:ascii="Times New Roman" w:hAnsi="Times New Roman"/>
                <w:color w:val="000000"/>
                <w:kern w:val="0"/>
                <w:sz w:val="20"/>
                <w:szCs w:val="20"/>
              </w:rPr>
              <w:t>(τ = 0.75)</w:t>
            </w:r>
          </w:p>
        </w:tc>
        <w:tc>
          <w:tcPr>
            <w:tcW w:w="866" w:type="pct"/>
            <w:tcBorders>
              <w:top w:val="single" w:color="auto" w:sz="4" w:space="0"/>
              <w:left w:val="nil"/>
              <w:bottom w:val="single" w:color="auto" w:sz="4" w:space="0"/>
              <w:right w:val="nil"/>
            </w:tcBorders>
            <w:vAlign w:val="center"/>
          </w:tcPr>
          <w:p w14:paraId="7091D60D">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(5) INFLA </w:t>
            </w:r>
            <w:r>
              <w:rPr>
                <w:rFonts w:ascii="Times New Roman" w:hAnsi="Times New Roman"/>
                <w:color w:val="000000"/>
                <w:kern w:val="0"/>
                <w:sz w:val="20"/>
                <w:szCs w:val="20"/>
              </w:rPr>
              <w:t>(τ = 0.75)</w:t>
            </w:r>
          </w:p>
        </w:tc>
      </w:tr>
      <w:tr w14:paraId="67F84E4E">
        <w:tc>
          <w:tcPr>
            <w:tcW w:w="746" w:type="pct"/>
            <w:tcBorders>
              <w:top w:val="nil"/>
              <w:left w:val="nil"/>
              <w:bottom w:val="nil"/>
              <w:right w:val="nil"/>
            </w:tcBorders>
          </w:tcPr>
          <w:p w14:paraId="5DF27250">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770" w:type="pct"/>
            <w:tcBorders>
              <w:top w:val="single" w:color="auto" w:sz="4" w:space="0"/>
              <w:left w:val="nil"/>
              <w:bottom w:val="single" w:color="auto" w:sz="4" w:space="0"/>
              <w:right w:val="nil"/>
            </w:tcBorders>
            <w:vAlign w:val="center"/>
          </w:tcPr>
          <w:p w14:paraId="39185090">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31" w:type="pct"/>
            <w:tcBorders>
              <w:top w:val="single" w:color="auto" w:sz="4" w:space="0"/>
              <w:left w:val="nil"/>
              <w:bottom w:val="single" w:color="auto" w:sz="4" w:space="0"/>
              <w:right w:val="nil"/>
            </w:tcBorders>
            <w:vAlign w:val="center"/>
          </w:tcPr>
          <w:p w14:paraId="74D7748F">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956" w:type="pct"/>
            <w:tcBorders>
              <w:top w:val="single" w:color="auto" w:sz="4" w:space="0"/>
              <w:left w:val="nil"/>
              <w:bottom w:val="single" w:color="auto" w:sz="4" w:space="0"/>
              <w:right w:val="nil"/>
            </w:tcBorders>
            <w:vAlign w:val="center"/>
          </w:tcPr>
          <w:p w14:paraId="089F8066">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31" w:type="pct"/>
            <w:tcBorders>
              <w:top w:val="single" w:color="auto" w:sz="4" w:space="0"/>
              <w:left w:val="nil"/>
              <w:bottom w:val="single" w:color="auto" w:sz="4" w:space="0"/>
              <w:right w:val="nil"/>
            </w:tcBorders>
            <w:vAlign w:val="center"/>
          </w:tcPr>
          <w:p w14:paraId="6A0D727D">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866" w:type="pct"/>
            <w:tcBorders>
              <w:top w:val="single" w:color="auto" w:sz="4" w:space="0"/>
              <w:left w:val="nil"/>
              <w:bottom w:val="single" w:color="auto" w:sz="4" w:space="0"/>
              <w:right w:val="nil"/>
            </w:tcBorders>
            <w:vAlign w:val="center"/>
          </w:tcPr>
          <w:p w14:paraId="20EE1069">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3B6FDB74">
        <w:tc>
          <w:tcPr>
            <w:tcW w:w="746" w:type="pct"/>
            <w:tcBorders>
              <w:top w:val="single" w:color="auto" w:sz="4" w:space="0"/>
              <w:left w:val="nil"/>
              <w:bottom w:val="nil"/>
              <w:right w:val="nil"/>
            </w:tcBorders>
          </w:tcPr>
          <w:p w14:paraId="3BE0EF16">
            <w:pPr>
              <w:pStyle w:val="69"/>
              <w:spacing w:line="360" w:lineRule="auto"/>
              <w:rPr>
                <w:rFonts w:ascii="Times New Roman" w:hAnsi="Times New Roman"/>
                <w:color w:val="000000"/>
                <w:sz w:val="20"/>
                <w:szCs w:val="20"/>
              </w:rPr>
            </w:pPr>
            <w:r>
              <w:rPr>
                <w:rFonts w:ascii="Times New Roman" w:hAnsi="Times New Roman"/>
                <w:color w:val="000000"/>
                <w:sz w:val="20"/>
                <w:szCs w:val="20"/>
              </w:rPr>
              <w:t xml:space="preserve">TEI_agri </w:t>
            </w:r>
          </w:p>
        </w:tc>
        <w:tc>
          <w:tcPr>
            <w:tcW w:w="770" w:type="pct"/>
            <w:tcBorders>
              <w:top w:val="single" w:color="auto" w:sz="4" w:space="0"/>
              <w:left w:val="nil"/>
              <w:bottom w:val="nil"/>
              <w:right w:val="nil"/>
            </w:tcBorders>
          </w:tcPr>
          <w:p w14:paraId="3F40F649">
            <w:pPr>
              <w:rPr>
                <w:rFonts w:eastAsia="宋体" w:cs="Times New Roman"/>
                <w:color w:val="000000"/>
                <w:kern w:val="2"/>
                <w:sz w:val="20"/>
                <w:szCs w:val="20"/>
              </w:rPr>
            </w:pPr>
            <w:r>
              <w:rPr>
                <w:rFonts w:cs="Times New Roman"/>
                <w:color w:val="000000"/>
                <w:sz w:val="20"/>
                <w:szCs w:val="20"/>
              </w:rPr>
              <w:t>0</w:t>
            </w:r>
            <w:r>
              <w:rPr>
                <w:rFonts w:eastAsia="宋体" w:cs="Times New Roman"/>
                <w:color w:val="000000"/>
                <w:sz w:val="20"/>
                <w:szCs w:val="20"/>
              </w:rPr>
              <w:t>.023275</w:t>
            </w:r>
            <w:r>
              <w:rPr>
                <w:rFonts w:cs="Times New Roman"/>
                <w:color w:val="000000"/>
                <w:sz w:val="20"/>
                <w:szCs w:val="20"/>
              </w:rPr>
              <w:t>***</w:t>
            </w:r>
          </w:p>
        </w:tc>
        <w:tc>
          <w:tcPr>
            <w:tcW w:w="831" w:type="pct"/>
            <w:tcBorders>
              <w:top w:val="single" w:color="auto" w:sz="4" w:space="0"/>
              <w:left w:val="nil"/>
              <w:bottom w:val="nil"/>
              <w:right w:val="nil"/>
            </w:tcBorders>
          </w:tcPr>
          <w:p w14:paraId="3A351973">
            <w:pPr>
              <w:pStyle w:val="69"/>
              <w:spacing w:line="360" w:lineRule="auto"/>
              <w:rPr>
                <w:rFonts w:ascii="Times New Roman" w:hAnsi="Times New Roman"/>
                <w:color w:val="000000"/>
                <w:sz w:val="20"/>
                <w:szCs w:val="20"/>
              </w:rPr>
            </w:pPr>
            <w:r>
              <w:rPr>
                <w:rFonts w:ascii="Times New Roman" w:hAnsi="Times New Roman"/>
                <w:color w:val="000000"/>
                <w:sz w:val="20"/>
                <w:szCs w:val="20"/>
              </w:rPr>
              <w:t>0.001219</w:t>
            </w:r>
          </w:p>
        </w:tc>
        <w:tc>
          <w:tcPr>
            <w:tcW w:w="956" w:type="pct"/>
            <w:tcBorders>
              <w:top w:val="single" w:color="auto" w:sz="4" w:space="0"/>
              <w:left w:val="nil"/>
              <w:bottom w:val="nil"/>
              <w:right w:val="nil"/>
            </w:tcBorders>
          </w:tcPr>
          <w:p w14:paraId="221E1CD5">
            <w:pPr>
              <w:pStyle w:val="69"/>
              <w:spacing w:line="360" w:lineRule="auto"/>
              <w:rPr>
                <w:rFonts w:ascii="Times New Roman" w:hAnsi="Times New Roman"/>
                <w:color w:val="000000"/>
                <w:sz w:val="20"/>
                <w:szCs w:val="20"/>
              </w:rPr>
            </w:pPr>
            <w:r>
              <w:rPr>
                <w:rFonts w:ascii="Times New Roman" w:hAnsi="Times New Roman"/>
                <w:color w:val="000000"/>
                <w:sz w:val="20"/>
                <w:szCs w:val="20"/>
              </w:rPr>
              <w:t>0.081977***</w:t>
            </w:r>
          </w:p>
        </w:tc>
        <w:tc>
          <w:tcPr>
            <w:tcW w:w="831" w:type="pct"/>
            <w:tcBorders>
              <w:top w:val="single" w:color="auto" w:sz="4" w:space="0"/>
              <w:left w:val="nil"/>
              <w:bottom w:val="nil"/>
              <w:right w:val="nil"/>
            </w:tcBorders>
          </w:tcPr>
          <w:p w14:paraId="7844D8DD">
            <w:pPr>
              <w:pStyle w:val="69"/>
              <w:spacing w:line="360" w:lineRule="auto"/>
              <w:rPr>
                <w:rFonts w:ascii="Times New Roman" w:hAnsi="Times New Roman"/>
                <w:color w:val="000000"/>
                <w:sz w:val="20"/>
                <w:szCs w:val="20"/>
              </w:rPr>
            </w:pPr>
            <w:r>
              <w:rPr>
                <w:rFonts w:ascii="Times New Roman" w:hAnsi="Times New Roman"/>
                <w:color w:val="000000"/>
                <w:sz w:val="20"/>
                <w:szCs w:val="20"/>
              </w:rPr>
              <w:t>0.0151976***</w:t>
            </w:r>
          </w:p>
        </w:tc>
        <w:tc>
          <w:tcPr>
            <w:tcW w:w="866" w:type="pct"/>
            <w:tcBorders>
              <w:top w:val="single" w:color="auto" w:sz="4" w:space="0"/>
              <w:left w:val="nil"/>
              <w:bottom w:val="nil"/>
              <w:right w:val="nil"/>
            </w:tcBorders>
          </w:tcPr>
          <w:p w14:paraId="04408D0D">
            <w:pPr>
              <w:pStyle w:val="69"/>
              <w:spacing w:line="360" w:lineRule="auto"/>
              <w:rPr>
                <w:rFonts w:ascii="Times New Roman" w:hAnsi="Times New Roman"/>
                <w:color w:val="000000"/>
                <w:sz w:val="20"/>
                <w:szCs w:val="20"/>
              </w:rPr>
            </w:pPr>
            <w:r>
              <w:rPr>
                <w:rFonts w:ascii="Times New Roman" w:hAnsi="Times New Roman"/>
                <w:color w:val="000000"/>
                <w:sz w:val="20"/>
                <w:szCs w:val="20"/>
              </w:rPr>
              <w:t>0.0544562***</w:t>
            </w:r>
          </w:p>
        </w:tc>
      </w:tr>
      <w:tr w14:paraId="5B6E736F">
        <w:tc>
          <w:tcPr>
            <w:tcW w:w="746" w:type="pct"/>
            <w:tcBorders>
              <w:top w:val="nil"/>
              <w:left w:val="nil"/>
              <w:bottom w:val="nil"/>
              <w:right w:val="nil"/>
            </w:tcBorders>
          </w:tcPr>
          <w:p w14:paraId="4D42BFAA">
            <w:pPr>
              <w:pStyle w:val="69"/>
              <w:spacing w:line="360" w:lineRule="auto"/>
              <w:rPr>
                <w:rFonts w:ascii="Times New Roman" w:hAnsi="Times New Roman"/>
                <w:color w:val="000000"/>
                <w:sz w:val="20"/>
                <w:szCs w:val="20"/>
              </w:rPr>
            </w:pPr>
          </w:p>
        </w:tc>
        <w:tc>
          <w:tcPr>
            <w:tcW w:w="770" w:type="pct"/>
            <w:tcBorders>
              <w:top w:val="nil"/>
              <w:left w:val="nil"/>
              <w:bottom w:val="nil"/>
              <w:right w:val="nil"/>
            </w:tcBorders>
          </w:tcPr>
          <w:p w14:paraId="14BFC463">
            <w:pPr>
              <w:rPr>
                <w:rFonts w:eastAsia="宋体" w:cs="Times New Roman"/>
                <w:color w:val="000000"/>
                <w:kern w:val="2"/>
                <w:sz w:val="20"/>
                <w:szCs w:val="20"/>
              </w:rPr>
            </w:pPr>
            <w:r>
              <w:rPr>
                <w:rFonts w:cs="Times New Roman"/>
                <w:color w:val="000000"/>
                <w:sz w:val="20"/>
                <w:szCs w:val="20"/>
              </w:rPr>
              <w:t>(0.0048537)</w:t>
            </w:r>
          </w:p>
        </w:tc>
        <w:tc>
          <w:tcPr>
            <w:tcW w:w="831" w:type="pct"/>
            <w:tcBorders>
              <w:top w:val="nil"/>
              <w:left w:val="nil"/>
              <w:bottom w:val="nil"/>
              <w:right w:val="nil"/>
            </w:tcBorders>
          </w:tcPr>
          <w:p w14:paraId="1BDDC576">
            <w:pPr>
              <w:pStyle w:val="69"/>
              <w:spacing w:line="360" w:lineRule="auto"/>
              <w:rPr>
                <w:rFonts w:ascii="Times New Roman" w:hAnsi="Times New Roman"/>
                <w:color w:val="000000"/>
                <w:sz w:val="20"/>
                <w:szCs w:val="20"/>
              </w:rPr>
            </w:pPr>
            <w:r>
              <w:rPr>
                <w:rFonts w:ascii="Times New Roman" w:hAnsi="Times New Roman"/>
                <w:color w:val="000000"/>
                <w:sz w:val="20"/>
                <w:szCs w:val="20"/>
              </w:rPr>
              <w:t>(0.0043233)</w:t>
            </w:r>
          </w:p>
        </w:tc>
        <w:tc>
          <w:tcPr>
            <w:tcW w:w="956" w:type="pct"/>
            <w:tcBorders>
              <w:top w:val="nil"/>
              <w:left w:val="nil"/>
              <w:bottom w:val="nil"/>
              <w:right w:val="nil"/>
            </w:tcBorders>
          </w:tcPr>
          <w:p w14:paraId="25ECFBE3">
            <w:pPr>
              <w:pStyle w:val="69"/>
              <w:spacing w:line="360" w:lineRule="auto"/>
              <w:rPr>
                <w:rFonts w:ascii="Times New Roman" w:hAnsi="Times New Roman"/>
                <w:color w:val="000000"/>
                <w:sz w:val="20"/>
                <w:szCs w:val="20"/>
              </w:rPr>
            </w:pPr>
            <w:r>
              <w:rPr>
                <w:rFonts w:ascii="Times New Roman" w:hAnsi="Times New Roman"/>
                <w:color w:val="000000"/>
                <w:sz w:val="20"/>
                <w:szCs w:val="20"/>
              </w:rPr>
              <w:t>(0.0079449)</w:t>
            </w:r>
          </w:p>
        </w:tc>
        <w:tc>
          <w:tcPr>
            <w:tcW w:w="831" w:type="pct"/>
            <w:tcBorders>
              <w:top w:val="nil"/>
              <w:left w:val="nil"/>
              <w:bottom w:val="nil"/>
              <w:right w:val="nil"/>
            </w:tcBorders>
          </w:tcPr>
          <w:p w14:paraId="0F87F9E7">
            <w:pPr>
              <w:pStyle w:val="69"/>
              <w:spacing w:line="360" w:lineRule="auto"/>
              <w:rPr>
                <w:rFonts w:ascii="Times New Roman" w:hAnsi="Times New Roman"/>
                <w:color w:val="000000"/>
                <w:sz w:val="20"/>
                <w:szCs w:val="20"/>
              </w:rPr>
            </w:pPr>
            <w:r>
              <w:rPr>
                <w:rFonts w:ascii="Times New Roman" w:hAnsi="Times New Roman"/>
                <w:color w:val="000000"/>
                <w:sz w:val="20"/>
                <w:szCs w:val="20"/>
              </w:rPr>
              <w:t>(0.0039286)</w:t>
            </w:r>
          </w:p>
        </w:tc>
        <w:tc>
          <w:tcPr>
            <w:tcW w:w="866" w:type="pct"/>
            <w:tcBorders>
              <w:top w:val="nil"/>
              <w:left w:val="nil"/>
              <w:bottom w:val="nil"/>
              <w:right w:val="nil"/>
            </w:tcBorders>
          </w:tcPr>
          <w:p w14:paraId="6E8ABC80">
            <w:pPr>
              <w:pStyle w:val="69"/>
              <w:spacing w:line="360" w:lineRule="auto"/>
              <w:rPr>
                <w:rFonts w:ascii="Times New Roman" w:hAnsi="Times New Roman"/>
                <w:color w:val="000000"/>
                <w:sz w:val="20"/>
                <w:szCs w:val="20"/>
              </w:rPr>
            </w:pPr>
            <w:r>
              <w:rPr>
                <w:rFonts w:ascii="Times New Roman" w:hAnsi="Times New Roman"/>
                <w:color w:val="000000"/>
                <w:sz w:val="20"/>
                <w:szCs w:val="20"/>
              </w:rPr>
              <w:t>(0.0112756)</w:t>
            </w:r>
          </w:p>
        </w:tc>
      </w:tr>
      <w:tr w14:paraId="323994D6">
        <w:tc>
          <w:tcPr>
            <w:tcW w:w="746" w:type="pct"/>
            <w:tcBorders>
              <w:top w:val="nil"/>
              <w:left w:val="nil"/>
              <w:bottom w:val="nil"/>
              <w:right w:val="nil"/>
            </w:tcBorders>
          </w:tcPr>
          <w:p w14:paraId="374F499C">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770" w:type="pct"/>
            <w:tcBorders>
              <w:top w:val="nil"/>
              <w:left w:val="nil"/>
              <w:bottom w:val="nil"/>
              <w:right w:val="nil"/>
            </w:tcBorders>
          </w:tcPr>
          <w:p w14:paraId="77C7A8CE">
            <w:pPr>
              <w:pStyle w:val="69"/>
              <w:spacing w:line="360" w:lineRule="auto"/>
              <w:rPr>
                <w:rFonts w:ascii="Times New Roman" w:hAnsi="Times New Roman"/>
                <w:color w:val="000000"/>
                <w:sz w:val="20"/>
                <w:szCs w:val="20"/>
              </w:rPr>
            </w:pPr>
            <w:r>
              <w:rPr>
                <w:rFonts w:ascii="Times New Roman" w:hAnsi="Times New Roman"/>
                <w:color w:val="000000"/>
                <w:sz w:val="20"/>
                <w:szCs w:val="20"/>
              </w:rPr>
              <w:t>-0.0002018</w:t>
            </w:r>
          </w:p>
        </w:tc>
        <w:tc>
          <w:tcPr>
            <w:tcW w:w="831" w:type="pct"/>
            <w:tcBorders>
              <w:top w:val="nil"/>
              <w:left w:val="nil"/>
              <w:bottom w:val="nil"/>
              <w:right w:val="nil"/>
            </w:tcBorders>
          </w:tcPr>
          <w:p w14:paraId="41A3DD73">
            <w:pPr>
              <w:pStyle w:val="69"/>
              <w:spacing w:line="360" w:lineRule="auto"/>
              <w:rPr>
                <w:rFonts w:ascii="Times New Roman" w:hAnsi="Times New Roman"/>
                <w:color w:val="000000"/>
                <w:sz w:val="20"/>
                <w:szCs w:val="20"/>
              </w:rPr>
            </w:pPr>
            <w:r>
              <w:rPr>
                <w:rFonts w:ascii="Times New Roman" w:hAnsi="Times New Roman"/>
                <w:color w:val="000000"/>
                <w:sz w:val="20"/>
                <w:szCs w:val="20"/>
              </w:rPr>
              <w:t>-0.028248***</w:t>
            </w:r>
          </w:p>
        </w:tc>
        <w:tc>
          <w:tcPr>
            <w:tcW w:w="956" w:type="pct"/>
            <w:tcBorders>
              <w:top w:val="nil"/>
              <w:left w:val="nil"/>
              <w:bottom w:val="nil"/>
              <w:right w:val="nil"/>
            </w:tcBorders>
          </w:tcPr>
          <w:p w14:paraId="46734CEF">
            <w:pPr>
              <w:pStyle w:val="69"/>
              <w:spacing w:line="360" w:lineRule="auto"/>
              <w:rPr>
                <w:rFonts w:ascii="Times New Roman" w:hAnsi="Times New Roman"/>
                <w:color w:val="000000"/>
                <w:sz w:val="20"/>
                <w:szCs w:val="20"/>
              </w:rPr>
            </w:pPr>
            <w:r>
              <w:rPr>
                <w:rFonts w:ascii="Times New Roman" w:hAnsi="Times New Roman"/>
                <w:color w:val="000000"/>
                <w:sz w:val="20"/>
                <w:szCs w:val="20"/>
              </w:rPr>
              <w:t>-0.0402625****</w:t>
            </w:r>
          </w:p>
        </w:tc>
        <w:tc>
          <w:tcPr>
            <w:tcW w:w="831" w:type="pct"/>
            <w:tcBorders>
              <w:top w:val="nil"/>
              <w:left w:val="nil"/>
              <w:bottom w:val="nil"/>
              <w:right w:val="nil"/>
            </w:tcBorders>
          </w:tcPr>
          <w:p w14:paraId="505B4397">
            <w:pPr>
              <w:pStyle w:val="69"/>
              <w:spacing w:line="360" w:lineRule="auto"/>
              <w:rPr>
                <w:rFonts w:ascii="Times New Roman" w:hAnsi="Times New Roman"/>
                <w:color w:val="000000"/>
                <w:sz w:val="20"/>
                <w:szCs w:val="20"/>
              </w:rPr>
            </w:pPr>
            <w:r>
              <w:rPr>
                <w:rFonts w:ascii="Times New Roman" w:hAnsi="Times New Roman"/>
                <w:color w:val="000000"/>
                <w:sz w:val="20"/>
                <w:szCs w:val="20"/>
              </w:rPr>
              <w:t>0.0179302***</w:t>
            </w:r>
          </w:p>
        </w:tc>
        <w:tc>
          <w:tcPr>
            <w:tcW w:w="866" w:type="pct"/>
            <w:tcBorders>
              <w:top w:val="nil"/>
              <w:left w:val="nil"/>
              <w:bottom w:val="nil"/>
              <w:right w:val="nil"/>
            </w:tcBorders>
          </w:tcPr>
          <w:p w14:paraId="583CDEBB">
            <w:pPr>
              <w:pStyle w:val="69"/>
              <w:spacing w:line="360" w:lineRule="auto"/>
              <w:rPr>
                <w:rFonts w:ascii="Times New Roman" w:hAnsi="Times New Roman"/>
                <w:color w:val="000000"/>
                <w:sz w:val="20"/>
                <w:szCs w:val="20"/>
              </w:rPr>
            </w:pPr>
            <w:r>
              <w:rPr>
                <w:rFonts w:ascii="Times New Roman" w:hAnsi="Times New Roman"/>
                <w:color w:val="000000"/>
                <w:sz w:val="20"/>
                <w:szCs w:val="20"/>
              </w:rPr>
              <w:t>-0.0285451***</w:t>
            </w:r>
          </w:p>
        </w:tc>
      </w:tr>
      <w:tr w14:paraId="448B5665">
        <w:tc>
          <w:tcPr>
            <w:tcW w:w="746" w:type="pct"/>
            <w:tcBorders>
              <w:top w:val="nil"/>
              <w:left w:val="nil"/>
              <w:bottom w:val="nil"/>
              <w:right w:val="nil"/>
            </w:tcBorders>
          </w:tcPr>
          <w:p w14:paraId="660F949B">
            <w:pPr>
              <w:pStyle w:val="69"/>
              <w:spacing w:line="360" w:lineRule="auto"/>
              <w:rPr>
                <w:rFonts w:ascii="Times New Roman" w:hAnsi="Times New Roman"/>
                <w:color w:val="000000"/>
                <w:sz w:val="20"/>
                <w:szCs w:val="20"/>
              </w:rPr>
            </w:pPr>
          </w:p>
        </w:tc>
        <w:tc>
          <w:tcPr>
            <w:tcW w:w="770" w:type="pct"/>
            <w:tcBorders>
              <w:top w:val="nil"/>
              <w:left w:val="nil"/>
              <w:bottom w:val="nil"/>
              <w:right w:val="nil"/>
            </w:tcBorders>
          </w:tcPr>
          <w:p w14:paraId="7EC4E75B">
            <w:pPr>
              <w:pStyle w:val="69"/>
              <w:spacing w:line="360" w:lineRule="auto"/>
              <w:rPr>
                <w:rFonts w:ascii="Times New Roman" w:hAnsi="Times New Roman"/>
                <w:color w:val="000000"/>
                <w:sz w:val="20"/>
                <w:szCs w:val="20"/>
              </w:rPr>
            </w:pPr>
            <w:r>
              <w:rPr>
                <w:rFonts w:ascii="Times New Roman" w:hAnsi="Times New Roman"/>
                <w:color w:val="000000"/>
                <w:sz w:val="20"/>
                <w:szCs w:val="20"/>
              </w:rPr>
              <w:t>(0.0049746)</w:t>
            </w:r>
          </w:p>
        </w:tc>
        <w:tc>
          <w:tcPr>
            <w:tcW w:w="831" w:type="pct"/>
            <w:tcBorders>
              <w:top w:val="nil"/>
              <w:left w:val="nil"/>
              <w:bottom w:val="nil"/>
              <w:right w:val="nil"/>
            </w:tcBorders>
          </w:tcPr>
          <w:p w14:paraId="62EC8139">
            <w:pPr>
              <w:pStyle w:val="69"/>
              <w:spacing w:line="360" w:lineRule="auto"/>
              <w:rPr>
                <w:rFonts w:ascii="Times New Roman" w:hAnsi="Times New Roman"/>
                <w:color w:val="000000"/>
                <w:sz w:val="20"/>
                <w:szCs w:val="20"/>
              </w:rPr>
            </w:pPr>
            <w:r>
              <w:rPr>
                <w:rFonts w:ascii="Times New Roman" w:hAnsi="Times New Roman"/>
                <w:color w:val="000000"/>
                <w:sz w:val="20"/>
                <w:szCs w:val="20"/>
              </w:rPr>
              <w:t>(0.0021699)</w:t>
            </w:r>
          </w:p>
        </w:tc>
        <w:tc>
          <w:tcPr>
            <w:tcW w:w="956" w:type="pct"/>
            <w:tcBorders>
              <w:top w:val="nil"/>
              <w:left w:val="nil"/>
              <w:bottom w:val="nil"/>
              <w:right w:val="nil"/>
            </w:tcBorders>
          </w:tcPr>
          <w:p w14:paraId="26264897">
            <w:pPr>
              <w:pStyle w:val="69"/>
              <w:spacing w:line="360" w:lineRule="auto"/>
              <w:rPr>
                <w:rFonts w:ascii="Times New Roman" w:hAnsi="Times New Roman"/>
                <w:color w:val="000000"/>
                <w:sz w:val="20"/>
                <w:szCs w:val="20"/>
              </w:rPr>
            </w:pPr>
            <w:r>
              <w:rPr>
                <w:rFonts w:ascii="Times New Roman" w:hAnsi="Times New Roman"/>
                <w:color w:val="000000"/>
                <w:sz w:val="20"/>
                <w:szCs w:val="20"/>
              </w:rPr>
              <w:t>(0.0116162)</w:t>
            </w:r>
          </w:p>
        </w:tc>
        <w:tc>
          <w:tcPr>
            <w:tcW w:w="831" w:type="pct"/>
            <w:tcBorders>
              <w:top w:val="nil"/>
              <w:left w:val="nil"/>
              <w:bottom w:val="nil"/>
              <w:right w:val="nil"/>
            </w:tcBorders>
          </w:tcPr>
          <w:p w14:paraId="25BB9D60">
            <w:pPr>
              <w:pStyle w:val="69"/>
              <w:spacing w:line="360" w:lineRule="auto"/>
              <w:rPr>
                <w:rFonts w:ascii="Times New Roman" w:hAnsi="Times New Roman"/>
                <w:color w:val="000000"/>
                <w:sz w:val="20"/>
                <w:szCs w:val="20"/>
              </w:rPr>
            </w:pPr>
            <w:r>
              <w:rPr>
                <w:rFonts w:ascii="Times New Roman" w:hAnsi="Times New Roman"/>
                <w:color w:val="000000"/>
                <w:sz w:val="20"/>
                <w:szCs w:val="20"/>
              </w:rPr>
              <w:t>(0.0040557)</w:t>
            </w:r>
          </w:p>
        </w:tc>
        <w:tc>
          <w:tcPr>
            <w:tcW w:w="866" w:type="pct"/>
            <w:tcBorders>
              <w:top w:val="nil"/>
              <w:left w:val="nil"/>
              <w:bottom w:val="nil"/>
              <w:right w:val="nil"/>
            </w:tcBorders>
          </w:tcPr>
          <w:p w14:paraId="29914185">
            <w:pPr>
              <w:pStyle w:val="69"/>
              <w:spacing w:line="360" w:lineRule="auto"/>
              <w:rPr>
                <w:rFonts w:ascii="Times New Roman" w:hAnsi="Times New Roman"/>
                <w:color w:val="000000"/>
                <w:sz w:val="20"/>
                <w:szCs w:val="20"/>
              </w:rPr>
            </w:pPr>
            <w:r>
              <w:rPr>
                <w:rFonts w:ascii="Times New Roman" w:hAnsi="Times New Roman"/>
                <w:color w:val="000000"/>
                <w:sz w:val="20"/>
                <w:szCs w:val="20"/>
              </w:rPr>
              <w:t>(0.0064456)</w:t>
            </w:r>
          </w:p>
        </w:tc>
      </w:tr>
      <w:tr w14:paraId="39D3100A">
        <w:trPr>
          <w:trHeight w:val="90" w:hRule="atLeast"/>
        </w:trPr>
        <w:tc>
          <w:tcPr>
            <w:tcW w:w="746" w:type="pct"/>
            <w:tcBorders>
              <w:top w:val="nil"/>
              <w:left w:val="nil"/>
              <w:bottom w:val="nil"/>
              <w:right w:val="nil"/>
            </w:tcBorders>
          </w:tcPr>
          <w:p w14:paraId="307E3AAE">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770" w:type="pct"/>
            <w:tcBorders>
              <w:top w:val="nil"/>
              <w:left w:val="nil"/>
              <w:bottom w:val="nil"/>
              <w:right w:val="nil"/>
            </w:tcBorders>
          </w:tcPr>
          <w:p w14:paraId="759E04D1">
            <w:pPr>
              <w:pStyle w:val="69"/>
              <w:spacing w:line="360" w:lineRule="auto"/>
              <w:rPr>
                <w:rFonts w:ascii="Times New Roman" w:hAnsi="Times New Roman"/>
                <w:color w:val="000000"/>
                <w:sz w:val="20"/>
                <w:szCs w:val="20"/>
              </w:rPr>
            </w:pPr>
            <w:r>
              <w:rPr>
                <w:rFonts w:ascii="Times New Roman" w:hAnsi="Times New Roman"/>
                <w:color w:val="000000"/>
                <w:sz w:val="20"/>
                <w:szCs w:val="20"/>
              </w:rPr>
              <w:t>0.5957688</w:t>
            </w:r>
          </w:p>
        </w:tc>
        <w:tc>
          <w:tcPr>
            <w:tcW w:w="831" w:type="pct"/>
            <w:tcBorders>
              <w:top w:val="nil"/>
              <w:left w:val="nil"/>
              <w:bottom w:val="nil"/>
              <w:right w:val="nil"/>
            </w:tcBorders>
          </w:tcPr>
          <w:p w14:paraId="4A2BBD70">
            <w:pPr>
              <w:pStyle w:val="69"/>
              <w:spacing w:line="360" w:lineRule="auto"/>
              <w:rPr>
                <w:rFonts w:ascii="Times New Roman" w:hAnsi="Times New Roman"/>
                <w:color w:val="000000"/>
                <w:sz w:val="20"/>
                <w:szCs w:val="20"/>
              </w:rPr>
            </w:pPr>
            <w:r>
              <w:rPr>
                <w:rFonts w:ascii="Times New Roman" w:hAnsi="Times New Roman"/>
                <w:color w:val="000000"/>
                <w:sz w:val="20"/>
                <w:szCs w:val="20"/>
              </w:rPr>
              <w:t>0.7914855**</w:t>
            </w:r>
          </w:p>
        </w:tc>
        <w:tc>
          <w:tcPr>
            <w:tcW w:w="956" w:type="pct"/>
            <w:tcBorders>
              <w:top w:val="nil"/>
              <w:left w:val="nil"/>
              <w:bottom w:val="nil"/>
              <w:right w:val="nil"/>
            </w:tcBorders>
          </w:tcPr>
          <w:p w14:paraId="0B0F40BE">
            <w:pPr>
              <w:pStyle w:val="69"/>
              <w:spacing w:line="360" w:lineRule="auto"/>
              <w:rPr>
                <w:rFonts w:ascii="Times New Roman" w:hAnsi="Times New Roman"/>
                <w:color w:val="000000"/>
                <w:sz w:val="20"/>
                <w:szCs w:val="20"/>
              </w:rPr>
            </w:pPr>
            <w:r>
              <w:rPr>
                <w:rFonts w:ascii="Times New Roman" w:hAnsi="Times New Roman"/>
                <w:color w:val="000000"/>
                <w:sz w:val="20"/>
                <w:szCs w:val="20"/>
              </w:rPr>
              <w:t>3.7112***</w:t>
            </w:r>
          </w:p>
        </w:tc>
        <w:tc>
          <w:tcPr>
            <w:tcW w:w="831" w:type="pct"/>
            <w:tcBorders>
              <w:top w:val="nil"/>
              <w:left w:val="nil"/>
              <w:bottom w:val="nil"/>
              <w:right w:val="nil"/>
            </w:tcBorders>
          </w:tcPr>
          <w:p w14:paraId="63335E56">
            <w:pPr>
              <w:pStyle w:val="69"/>
              <w:spacing w:line="360" w:lineRule="auto"/>
              <w:rPr>
                <w:rFonts w:ascii="Times New Roman" w:hAnsi="Times New Roman"/>
                <w:color w:val="000000"/>
                <w:sz w:val="20"/>
                <w:szCs w:val="20"/>
              </w:rPr>
            </w:pPr>
            <w:r>
              <w:rPr>
                <w:rFonts w:ascii="Times New Roman" w:hAnsi="Times New Roman"/>
                <w:color w:val="000000"/>
                <w:sz w:val="20"/>
                <w:szCs w:val="20"/>
              </w:rPr>
              <w:t>0.6594275*</w:t>
            </w:r>
          </w:p>
        </w:tc>
        <w:tc>
          <w:tcPr>
            <w:tcW w:w="866" w:type="pct"/>
            <w:tcBorders>
              <w:top w:val="nil"/>
              <w:left w:val="nil"/>
              <w:bottom w:val="nil"/>
              <w:right w:val="nil"/>
            </w:tcBorders>
          </w:tcPr>
          <w:p w14:paraId="44B6F49D">
            <w:pPr>
              <w:pStyle w:val="69"/>
              <w:spacing w:line="360" w:lineRule="auto"/>
              <w:rPr>
                <w:rFonts w:ascii="Times New Roman" w:hAnsi="Times New Roman"/>
                <w:color w:val="000000"/>
                <w:sz w:val="20"/>
                <w:szCs w:val="20"/>
              </w:rPr>
            </w:pPr>
            <w:r>
              <w:rPr>
                <w:rFonts w:ascii="Times New Roman" w:hAnsi="Times New Roman"/>
                <w:color w:val="000000"/>
                <w:sz w:val="20"/>
                <w:szCs w:val="20"/>
              </w:rPr>
              <w:t>0.0302203</w:t>
            </w:r>
          </w:p>
        </w:tc>
      </w:tr>
      <w:tr w14:paraId="36E05953">
        <w:tc>
          <w:tcPr>
            <w:tcW w:w="746" w:type="pct"/>
            <w:tcBorders>
              <w:top w:val="nil"/>
              <w:left w:val="nil"/>
              <w:bottom w:val="nil"/>
              <w:right w:val="nil"/>
            </w:tcBorders>
          </w:tcPr>
          <w:p w14:paraId="711B23C6">
            <w:pPr>
              <w:pStyle w:val="69"/>
              <w:spacing w:line="360" w:lineRule="auto"/>
              <w:rPr>
                <w:rFonts w:ascii="Times New Roman" w:hAnsi="Times New Roman"/>
                <w:color w:val="000000"/>
                <w:sz w:val="20"/>
                <w:szCs w:val="20"/>
              </w:rPr>
            </w:pPr>
          </w:p>
        </w:tc>
        <w:tc>
          <w:tcPr>
            <w:tcW w:w="770" w:type="pct"/>
            <w:tcBorders>
              <w:top w:val="nil"/>
              <w:left w:val="nil"/>
              <w:bottom w:val="nil"/>
              <w:right w:val="nil"/>
            </w:tcBorders>
          </w:tcPr>
          <w:p w14:paraId="39386275">
            <w:pPr>
              <w:pStyle w:val="69"/>
              <w:spacing w:line="360" w:lineRule="auto"/>
              <w:rPr>
                <w:rFonts w:ascii="Times New Roman" w:hAnsi="Times New Roman"/>
                <w:color w:val="000000"/>
                <w:sz w:val="20"/>
                <w:szCs w:val="20"/>
              </w:rPr>
            </w:pPr>
            <w:r>
              <w:rPr>
                <w:rFonts w:ascii="Times New Roman" w:hAnsi="Times New Roman"/>
                <w:color w:val="000000"/>
                <w:sz w:val="20"/>
                <w:szCs w:val="20"/>
              </w:rPr>
              <w:t>(0.4179146)</w:t>
            </w:r>
          </w:p>
        </w:tc>
        <w:tc>
          <w:tcPr>
            <w:tcW w:w="831" w:type="pct"/>
            <w:tcBorders>
              <w:top w:val="nil"/>
              <w:left w:val="nil"/>
              <w:bottom w:val="nil"/>
              <w:right w:val="nil"/>
            </w:tcBorders>
          </w:tcPr>
          <w:p w14:paraId="43260230">
            <w:pPr>
              <w:pStyle w:val="69"/>
              <w:spacing w:line="360" w:lineRule="auto"/>
              <w:rPr>
                <w:rFonts w:ascii="Times New Roman" w:hAnsi="Times New Roman"/>
                <w:color w:val="000000"/>
                <w:sz w:val="20"/>
                <w:szCs w:val="20"/>
              </w:rPr>
            </w:pPr>
            <w:r>
              <w:rPr>
                <w:rFonts w:ascii="Times New Roman" w:hAnsi="Times New Roman"/>
                <w:color w:val="000000"/>
                <w:sz w:val="20"/>
                <w:szCs w:val="20"/>
              </w:rPr>
              <w:t>(0.3085469)</w:t>
            </w:r>
          </w:p>
        </w:tc>
        <w:tc>
          <w:tcPr>
            <w:tcW w:w="956" w:type="pct"/>
            <w:tcBorders>
              <w:top w:val="nil"/>
              <w:left w:val="nil"/>
              <w:bottom w:val="nil"/>
              <w:right w:val="nil"/>
            </w:tcBorders>
          </w:tcPr>
          <w:p w14:paraId="242EC38E">
            <w:pPr>
              <w:pStyle w:val="69"/>
              <w:spacing w:line="360" w:lineRule="auto"/>
              <w:rPr>
                <w:rFonts w:ascii="Times New Roman" w:hAnsi="Times New Roman"/>
                <w:color w:val="000000"/>
                <w:sz w:val="20"/>
                <w:szCs w:val="20"/>
              </w:rPr>
            </w:pPr>
            <w:r>
              <w:rPr>
                <w:rFonts w:ascii="Times New Roman" w:hAnsi="Times New Roman"/>
                <w:color w:val="000000"/>
                <w:sz w:val="20"/>
                <w:szCs w:val="20"/>
              </w:rPr>
              <w:t>(0.7453487)</w:t>
            </w:r>
          </w:p>
        </w:tc>
        <w:tc>
          <w:tcPr>
            <w:tcW w:w="831" w:type="pct"/>
            <w:tcBorders>
              <w:top w:val="nil"/>
              <w:left w:val="nil"/>
              <w:bottom w:val="nil"/>
              <w:right w:val="nil"/>
            </w:tcBorders>
          </w:tcPr>
          <w:p w14:paraId="3110E971">
            <w:pPr>
              <w:pStyle w:val="69"/>
              <w:spacing w:line="360" w:lineRule="auto"/>
              <w:rPr>
                <w:rFonts w:ascii="Times New Roman" w:hAnsi="Times New Roman"/>
                <w:color w:val="000000"/>
                <w:sz w:val="20"/>
                <w:szCs w:val="20"/>
              </w:rPr>
            </w:pPr>
            <w:r>
              <w:rPr>
                <w:rFonts w:ascii="Times New Roman" w:hAnsi="Times New Roman"/>
                <w:color w:val="000000"/>
                <w:sz w:val="20"/>
                <w:szCs w:val="20"/>
              </w:rPr>
              <w:t>(0.3583171)</w:t>
            </w:r>
          </w:p>
        </w:tc>
        <w:tc>
          <w:tcPr>
            <w:tcW w:w="866" w:type="pct"/>
            <w:tcBorders>
              <w:top w:val="nil"/>
              <w:left w:val="nil"/>
              <w:bottom w:val="nil"/>
              <w:right w:val="nil"/>
            </w:tcBorders>
          </w:tcPr>
          <w:p w14:paraId="70D85922">
            <w:pPr>
              <w:pStyle w:val="69"/>
              <w:spacing w:line="360" w:lineRule="auto"/>
              <w:rPr>
                <w:rFonts w:ascii="Times New Roman" w:hAnsi="Times New Roman"/>
                <w:color w:val="000000"/>
                <w:sz w:val="20"/>
                <w:szCs w:val="20"/>
              </w:rPr>
            </w:pPr>
            <w:r>
              <w:rPr>
                <w:rFonts w:ascii="Times New Roman" w:hAnsi="Times New Roman"/>
                <w:color w:val="000000"/>
                <w:sz w:val="20"/>
                <w:szCs w:val="20"/>
              </w:rPr>
              <w:t>(0.3672961)</w:t>
            </w:r>
          </w:p>
        </w:tc>
      </w:tr>
      <w:tr w14:paraId="71B45AF8">
        <w:tc>
          <w:tcPr>
            <w:tcW w:w="746" w:type="pct"/>
            <w:tcBorders>
              <w:top w:val="nil"/>
              <w:left w:val="nil"/>
              <w:bottom w:val="nil"/>
              <w:right w:val="nil"/>
            </w:tcBorders>
          </w:tcPr>
          <w:p w14:paraId="57CF9540">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770" w:type="pct"/>
            <w:tcBorders>
              <w:top w:val="nil"/>
              <w:left w:val="nil"/>
              <w:bottom w:val="nil"/>
              <w:right w:val="nil"/>
            </w:tcBorders>
          </w:tcPr>
          <w:p w14:paraId="519D98C2">
            <w:pPr>
              <w:pStyle w:val="69"/>
              <w:spacing w:line="360" w:lineRule="auto"/>
              <w:rPr>
                <w:rFonts w:ascii="Times New Roman" w:hAnsi="Times New Roman"/>
                <w:color w:val="000000"/>
                <w:sz w:val="20"/>
                <w:szCs w:val="20"/>
              </w:rPr>
            </w:pPr>
            <w:r>
              <w:rPr>
                <w:rFonts w:ascii="Times New Roman" w:hAnsi="Times New Roman"/>
                <w:color w:val="000000"/>
                <w:sz w:val="20"/>
                <w:szCs w:val="20"/>
              </w:rPr>
              <w:t>-0.1653036</w:t>
            </w:r>
          </w:p>
        </w:tc>
        <w:tc>
          <w:tcPr>
            <w:tcW w:w="831" w:type="pct"/>
            <w:tcBorders>
              <w:top w:val="nil"/>
              <w:left w:val="nil"/>
              <w:bottom w:val="nil"/>
              <w:right w:val="nil"/>
            </w:tcBorders>
          </w:tcPr>
          <w:p w14:paraId="25FA2285">
            <w:pPr>
              <w:pStyle w:val="69"/>
              <w:spacing w:line="360" w:lineRule="auto"/>
              <w:rPr>
                <w:rFonts w:ascii="Times New Roman" w:hAnsi="Times New Roman"/>
                <w:color w:val="000000"/>
                <w:sz w:val="20"/>
                <w:szCs w:val="20"/>
              </w:rPr>
            </w:pPr>
            <w:r>
              <w:rPr>
                <w:rFonts w:ascii="Times New Roman" w:hAnsi="Times New Roman"/>
                <w:color w:val="000000"/>
                <w:sz w:val="20"/>
                <w:szCs w:val="20"/>
              </w:rPr>
              <w:t>0.5349158***</w:t>
            </w:r>
          </w:p>
        </w:tc>
        <w:tc>
          <w:tcPr>
            <w:tcW w:w="956" w:type="pct"/>
            <w:tcBorders>
              <w:top w:val="nil"/>
              <w:left w:val="nil"/>
              <w:bottom w:val="nil"/>
              <w:right w:val="nil"/>
            </w:tcBorders>
          </w:tcPr>
          <w:p w14:paraId="080B0C35">
            <w:pPr>
              <w:pStyle w:val="69"/>
              <w:spacing w:line="360" w:lineRule="auto"/>
              <w:rPr>
                <w:rFonts w:ascii="Times New Roman" w:hAnsi="Times New Roman"/>
                <w:color w:val="000000"/>
                <w:sz w:val="20"/>
                <w:szCs w:val="20"/>
              </w:rPr>
            </w:pPr>
            <w:r>
              <w:rPr>
                <w:rFonts w:ascii="Times New Roman" w:hAnsi="Times New Roman"/>
                <w:color w:val="000000"/>
                <w:sz w:val="20"/>
                <w:szCs w:val="20"/>
              </w:rPr>
              <w:t>-3.249007***</w:t>
            </w:r>
          </w:p>
        </w:tc>
        <w:tc>
          <w:tcPr>
            <w:tcW w:w="831" w:type="pct"/>
            <w:tcBorders>
              <w:top w:val="nil"/>
              <w:left w:val="nil"/>
              <w:bottom w:val="nil"/>
              <w:right w:val="nil"/>
            </w:tcBorders>
          </w:tcPr>
          <w:p w14:paraId="2ADFF019">
            <w:pPr>
              <w:pStyle w:val="69"/>
              <w:spacing w:line="360" w:lineRule="auto"/>
              <w:rPr>
                <w:rFonts w:ascii="Times New Roman" w:hAnsi="Times New Roman"/>
                <w:color w:val="000000"/>
                <w:sz w:val="20"/>
                <w:szCs w:val="20"/>
              </w:rPr>
            </w:pPr>
            <w:r>
              <w:rPr>
                <w:rFonts w:ascii="Times New Roman" w:hAnsi="Times New Roman"/>
                <w:color w:val="000000"/>
                <w:sz w:val="20"/>
                <w:szCs w:val="20"/>
              </w:rPr>
              <w:t>-0.0306782</w:t>
            </w:r>
          </w:p>
        </w:tc>
        <w:tc>
          <w:tcPr>
            <w:tcW w:w="866" w:type="pct"/>
            <w:tcBorders>
              <w:top w:val="nil"/>
              <w:left w:val="nil"/>
              <w:bottom w:val="nil"/>
              <w:right w:val="nil"/>
            </w:tcBorders>
          </w:tcPr>
          <w:p w14:paraId="6C0AB450">
            <w:pPr>
              <w:pStyle w:val="69"/>
              <w:spacing w:line="360" w:lineRule="auto"/>
              <w:rPr>
                <w:rFonts w:ascii="Times New Roman" w:hAnsi="Times New Roman"/>
                <w:color w:val="000000"/>
                <w:sz w:val="20"/>
                <w:szCs w:val="20"/>
              </w:rPr>
            </w:pPr>
            <w:r>
              <w:rPr>
                <w:rFonts w:ascii="Times New Roman" w:hAnsi="Times New Roman"/>
                <w:color w:val="000000"/>
                <w:sz w:val="20"/>
                <w:szCs w:val="20"/>
              </w:rPr>
              <w:t>-1.750385***</w:t>
            </w:r>
          </w:p>
        </w:tc>
      </w:tr>
      <w:tr w14:paraId="00166982">
        <w:trPr>
          <w:trHeight w:val="411" w:hRule="atLeast"/>
        </w:trPr>
        <w:tc>
          <w:tcPr>
            <w:tcW w:w="746" w:type="pct"/>
            <w:tcBorders>
              <w:top w:val="nil"/>
              <w:left w:val="nil"/>
              <w:bottom w:val="single" w:color="auto" w:sz="4" w:space="0"/>
              <w:right w:val="nil"/>
            </w:tcBorders>
          </w:tcPr>
          <w:p w14:paraId="2F12CA51">
            <w:pPr>
              <w:pStyle w:val="69"/>
              <w:spacing w:line="360" w:lineRule="auto"/>
              <w:rPr>
                <w:rFonts w:ascii="Times New Roman" w:hAnsi="Times New Roman"/>
                <w:color w:val="000000"/>
                <w:sz w:val="20"/>
                <w:szCs w:val="20"/>
              </w:rPr>
            </w:pPr>
          </w:p>
        </w:tc>
        <w:tc>
          <w:tcPr>
            <w:tcW w:w="770" w:type="pct"/>
            <w:tcBorders>
              <w:top w:val="nil"/>
              <w:left w:val="nil"/>
              <w:bottom w:val="single" w:color="auto" w:sz="4" w:space="0"/>
              <w:right w:val="nil"/>
            </w:tcBorders>
          </w:tcPr>
          <w:p w14:paraId="7EE84064">
            <w:pPr>
              <w:pStyle w:val="69"/>
              <w:spacing w:line="360" w:lineRule="auto"/>
              <w:rPr>
                <w:rFonts w:ascii="Times New Roman" w:hAnsi="Times New Roman"/>
                <w:color w:val="000000"/>
                <w:sz w:val="20"/>
                <w:szCs w:val="20"/>
              </w:rPr>
            </w:pPr>
            <w:r>
              <w:rPr>
                <w:rFonts w:ascii="Times New Roman" w:hAnsi="Times New Roman"/>
                <w:color w:val="000000"/>
                <w:sz w:val="20"/>
                <w:szCs w:val="20"/>
              </w:rPr>
              <w:t>(.1425164)</w:t>
            </w:r>
          </w:p>
        </w:tc>
        <w:tc>
          <w:tcPr>
            <w:tcW w:w="831" w:type="pct"/>
            <w:tcBorders>
              <w:top w:val="nil"/>
              <w:left w:val="nil"/>
              <w:bottom w:val="single" w:color="auto" w:sz="4" w:space="0"/>
              <w:right w:val="nil"/>
            </w:tcBorders>
          </w:tcPr>
          <w:p w14:paraId="2EFB3AA9">
            <w:pPr>
              <w:pStyle w:val="69"/>
              <w:spacing w:line="360" w:lineRule="auto"/>
              <w:rPr>
                <w:rFonts w:ascii="Times New Roman" w:hAnsi="Times New Roman"/>
                <w:color w:val="000000"/>
                <w:sz w:val="20"/>
                <w:szCs w:val="20"/>
              </w:rPr>
            </w:pPr>
            <w:r>
              <w:rPr>
                <w:rFonts w:ascii="Times New Roman" w:hAnsi="Times New Roman"/>
                <w:color w:val="000000"/>
                <w:sz w:val="20"/>
                <w:szCs w:val="20"/>
              </w:rPr>
              <w:t>(0.1433766)</w:t>
            </w:r>
          </w:p>
        </w:tc>
        <w:tc>
          <w:tcPr>
            <w:tcW w:w="956" w:type="pct"/>
            <w:tcBorders>
              <w:top w:val="nil"/>
              <w:left w:val="nil"/>
              <w:bottom w:val="single" w:color="auto" w:sz="4" w:space="0"/>
              <w:right w:val="nil"/>
            </w:tcBorders>
          </w:tcPr>
          <w:p w14:paraId="7706224F">
            <w:pPr>
              <w:pStyle w:val="69"/>
              <w:spacing w:line="360" w:lineRule="auto"/>
              <w:rPr>
                <w:rFonts w:ascii="Times New Roman" w:hAnsi="Times New Roman"/>
                <w:color w:val="000000"/>
                <w:sz w:val="20"/>
                <w:szCs w:val="20"/>
              </w:rPr>
            </w:pPr>
            <w:r>
              <w:rPr>
                <w:rFonts w:ascii="Times New Roman" w:hAnsi="Times New Roman"/>
                <w:color w:val="000000"/>
                <w:sz w:val="20"/>
                <w:szCs w:val="20"/>
              </w:rPr>
              <w:t>(0.352033)</w:t>
            </w:r>
          </w:p>
        </w:tc>
        <w:tc>
          <w:tcPr>
            <w:tcW w:w="831" w:type="pct"/>
            <w:tcBorders>
              <w:top w:val="nil"/>
              <w:left w:val="nil"/>
              <w:bottom w:val="single" w:color="auto" w:sz="4" w:space="0"/>
              <w:right w:val="nil"/>
            </w:tcBorders>
          </w:tcPr>
          <w:p w14:paraId="415F2464">
            <w:pPr>
              <w:pStyle w:val="69"/>
              <w:spacing w:line="360" w:lineRule="auto"/>
              <w:rPr>
                <w:rFonts w:ascii="Times New Roman" w:hAnsi="Times New Roman"/>
                <w:color w:val="000000"/>
                <w:sz w:val="20"/>
                <w:szCs w:val="20"/>
              </w:rPr>
            </w:pPr>
            <w:r>
              <w:rPr>
                <w:rFonts w:ascii="Times New Roman" w:hAnsi="Times New Roman"/>
                <w:color w:val="000000"/>
                <w:sz w:val="20"/>
                <w:szCs w:val="20"/>
              </w:rPr>
              <w:t>(0.097397)</w:t>
            </w:r>
          </w:p>
        </w:tc>
        <w:tc>
          <w:tcPr>
            <w:tcW w:w="866" w:type="pct"/>
            <w:tcBorders>
              <w:top w:val="nil"/>
              <w:left w:val="nil"/>
              <w:bottom w:val="single" w:color="auto" w:sz="4" w:space="0"/>
              <w:right w:val="nil"/>
            </w:tcBorders>
          </w:tcPr>
          <w:p w14:paraId="7A03D52F">
            <w:pPr>
              <w:pStyle w:val="69"/>
              <w:spacing w:line="360" w:lineRule="auto"/>
              <w:rPr>
                <w:rFonts w:ascii="Times New Roman" w:hAnsi="Times New Roman"/>
                <w:color w:val="000000"/>
                <w:sz w:val="20"/>
                <w:szCs w:val="20"/>
              </w:rPr>
            </w:pPr>
            <w:r>
              <w:rPr>
                <w:rFonts w:ascii="Times New Roman" w:hAnsi="Times New Roman"/>
                <w:color w:val="000000"/>
                <w:sz w:val="20"/>
                <w:szCs w:val="20"/>
              </w:rPr>
              <w:t>(0.332498)</w:t>
            </w:r>
          </w:p>
        </w:tc>
      </w:tr>
      <w:tr w14:paraId="26C6173C">
        <w:trPr>
          <w:trHeight w:val="411" w:hRule="atLeast"/>
        </w:trPr>
        <w:tc>
          <w:tcPr>
            <w:tcW w:w="746" w:type="pct"/>
            <w:tcBorders>
              <w:top w:val="single" w:color="auto" w:sz="4" w:space="0"/>
              <w:left w:val="nil"/>
              <w:bottom w:val="nil"/>
              <w:right w:val="nil"/>
            </w:tcBorders>
          </w:tcPr>
          <w:p w14:paraId="76DA563F">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770" w:type="pct"/>
            <w:tcBorders>
              <w:top w:val="single" w:color="auto" w:sz="4" w:space="0"/>
              <w:left w:val="nil"/>
              <w:bottom w:val="nil"/>
              <w:right w:val="nil"/>
            </w:tcBorders>
          </w:tcPr>
          <w:p w14:paraId="312BADAB">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31" w:type="pct"/>
            <w:tcBorders>
              <w:top w:val="single" w:color="auto" w:sz="4" w:space="0"/>
              <w:left w:val="nil"/>
              <w:bottom w:val="nil"/>
              <w:right w:val="nil"/>
            </w:tcBorders>
          </w:tcPr>
          <w:p w14:paraId="73B2471E">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956" w:type="pct"/>
            <w:tcBorders>
              <w:top w:val="single" w:color="auto" w:sz="4" w:space="0"/>
              <w:left w:val="nil"/>
              <w:bottom w:val="nil"/>
              <w:right w:val="nil"/>
            </w:tcBorders>
          </w:tcPr>
          <w:p w14:paraId="195F4D7A">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31" w:type="pct"/>
            <w:tcBorders>
              <w:top w:val="single" w:color="auto" w:sz="4" w:space="0"/>
              <w:left w:val="nil"/>
              <w:bottom w:val="nil"/>
              <w:right w:val="nil"/>
            </w:tcBorders>
          </w:tcPr>
          <w:p w14:paraId="782BF34B">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866" w:type="pct"/>
            <w:tcBorders>
              <w:top w:val="single" w:color="auto" w:sz="4" w:space="0"/>
              <w:left w:val="nil"/>
              <w:bottom w:val="nil"/>
              <w:right w:val="nil"/>
            </w:tcBorders>
          </w:tcPr>
          <w:p w14:paraId="49218A5E">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1FCC6CAC">
        <w:trPr>
          <w:trHeight w:val="411" w:hRule="atLeast"/>
        </w:trPr>
        <w:tc>
          <w:tcPr>
            <w:tcW w:w="746" w:type="pct"/>
            <w:tcBorders>
              <w:top w:val="nil"/>
              <w:left w:val="nil"/>
              <w:bottom w:val="single" w:color="000000" w:sz="4" w:space="0"/>
              <w:right w:val="nil"/>
            </w:tcBorders>
          </w:tcPr>
          <w:p w14:paraId="18761F88">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770" w:type="pct"/>
            <w:tcBorders>
              <w:top w:val="nil"/>
              <w:left w:val="nil"/>
              <w:bottom w:val="single" w:color="000000" w:sz="4" w:space="0"/>
              <w:right w:val="nil"/>
            </w:tcBorders>
          </w:tcPr>
          <w:p w14:paraId="06A469DE">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31" w:type="pct"/>
            <w:tcBorders>
              <w:top w:val="nil"/>
              <w:left w:val="nil"/>
              <w:bottom w:val="single" w:color="000000" w:sz="4" w:space="0"/>
              <w:right w:val="nil"/>
            </w:tcBorders>
          </w:tcPr>
          <w:p w14:paraId="6C7E2BBC">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956" w:type="pct"/>
            <w:tcBorders>
              <w:top w:val="nil"/>
              <w:left w:val="nil"/>
              <w:bottom w:val="single" w:color="000000" w:sz="4" w:space="0"/>
              <w:right w:val="nil"/>
            </w:tcBorders>
          </w:tcPr>
          <w:p w14:paraId="3F60AD14">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31" w:type="pct"/>
            <w:tcBorders>
              <w:top w:val="nil"/>
              <w:left w:val="nil"/>
              <w:bottom w:val="single" w:color="000000" w:sz="4" w:space="0"/>
              <w:right w:val="nil"/>
            </w:tcBorders>
          </w:tcPr>
          <w:p w14:paraId="7ADCB3C0">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866" w:type="pct"/>
            <w:tcBorders>
              <w:top w:val="nil"/>
              <w:left w:val="nil"/>
              <w:bottom w:val="single" w:color="000000" w:sz="4" w:space="0"/>
              <w:right w:val="nil"/>
            </w:tcBorders>
          </w:tcPr>
          <w:p w14:paraId="7FE8C4A2">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tbl>
    <w:p w14:paraId="3EE2D5D6">
      <w:pPr>
        <w:rPr>
          <w:rFonts w:cs="Times New Roman"/>
          <w:color w:val="000000"/>
        </w:rPr>
      </w:pPr>
    </w:p>
    <w:p w14:paraId="7567F28A">
      <w:pPr>
        <w:pStyle w:val="7"/>
      </w:pPr>
      <w:bookmarkStart w:id="133" w:name="_Toc216867805"/>
      <w:r>
        <w:t xml:space="preserve">Table </w:t>
      </w:r>
      <w:r>
        <w:rPr>
          <w:rFonts w:hint="eastAsia" w:eastAsia="宋体"/>
          <w:lang w:val="en-US" w:eastAsia="zh-CN"/>
        </w:rPr>
        <w:t>16</w:t>
      </w:r>
      <w:r>
        <w:t xml:space="preserve"> Robustness Test Using Quantile (Model 2)</w:t>
      </w:r>
      <w:bookmarkEnd w:id="133"/>
    </w:p>
    <w:tbl>
      <w:tblPr>
        <w:tblStyle w:val="25"/>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36"/>
        <w:gridCol w:w="2801"/>
        <w:gridCol w:w="2799"/>
      </w:tblGrid>
      <w:tr w14:paraId="21ACB23E">
        <w:trPr>
          <w:jc w:val="center"/>
        </w:trPr>
        <w:tc>
          <w:tcPr>
            <w:tcW w:w="1681" w:type="pct"/>
            <w:tcBorders>
              <w:top w:val="single" w:color="auto" w:sz="4" w:space="0"/>
              <w:left w:val="nil"/>
              <w:bottom w:val="nil"/>
              <w:right w:val="nil"/>
            </w:tcBorders>
          </w:tcPr>
          <w:p w14:paraId="2FD09736">
            <w:pPr>
              <w:pStyle w:val="69"/>
              <w:spacing w:line="360" w:lineRule="auto"/>
              <w:rPr>
                <w:rFonts w:ascii="Times New Roman" w:hAnsi="Times New Roman"/>
                <w:color w:val="000000"/>
                <w:sz w:val="20"/>
                <w:szCs w:val="20"/>
              </w:rPr>
            </w:pPr>
            <w:r>
              <w:rPr>
                <w:rFonts w:ascii="Times New Roman" w:hAnsi="Times New Roman"/>
                <w:color w:val="000000"/>
                <w:sz w:val="20"/>
                <w:szCs w:val="20"/>
              </w:rPr>
              <w:t>Dependent variable</w:t>
            </w:r>
          </w:p>
        </w:tc>
        <w:tc>
          <w:tcPr>
            <w:tcW w:w="1660" w:type="pct"/>
            <w:tcBorders>
              <w:top w:val="single" w:color="auto" w:sz="4" w:space="0"/>
              <w:left w:val="nil"/>
              <w:bottom w:val="single" w:color="auto" w:sz="4" w:space="0"/>
              <w:right w:val="nil"/>
            </w:tcBorders>
            <w:vAlign w:val="center"/>
          </w:tcPr>
          <w:p w14:paraId="7045CEDA">
            <w:pPr>
              <w:pStyle w:val="69"/>
              <w:spacing w:line="360" w:lineRule="auto"/>
              <w:rPr>
                <w:rFonts w:ascii="Times New Roman" w:hAnsi="Times New Roman"/>
                <w:color w:val="000000"/>
                <w:sz w:val="20"/>
                <w:szCs w:val="20"/>
              </w:rPr>
            </w:pPr>
            <w:bookmarkStart w:id="134" w:name="OLE_LINK68"/>
            <w:r>
              <w:rPr>
                <w:rFonts w:ascii="Times New Roman" w:hAnsi="Times New Roman"/>
                <w:color w:val="000000"/>
                <w:sz w:val="20"/>
                <w:szCs w:val="20"/>
              </w:rPr>
              <w:t>GCF (τ = 0.25)</w:t>
            </w:r>
            <w:bookmarkEnd w:id="134"/>
          </w:p>
        </w:tc>
        <w:tc>
          <w:tcPr>
            <w:tcW w:w="1659" w:type="pct"/>
            <w:tcBorders>
              <w:top w:val="single" w:color="auto" w:sz="4" w:space="0"/>
              <w:left w:val="nil"/>
              <w:bottom w:val="single" w:color="auto" w:sz="4" w:space="0"/>
            </w:tcBorders>
          </w:tcPr>
          <w:p w14:paraId="411D720A">
            <w:pPr>
              <w:pStyle w:val="69"/>
              <w:spacing w:line="360" w:lineRule="auto"/>
              <w:rPr>
                <w:rFonts w:ascii="Times New Roman" w:hAnsi="Times New Roman"/>
                <w:color w:val="000000"/>
                <w:sz w:val="20"/>
                <w:szCs w:val="20"/>
              </w:rPr>
            </w:pPr>
            <w:r>
              <w:rPr>
                <w:rFonts w:ascii="Times New Roman" w:hAnsi="Times New Roman"/>
                <w:color w:val="000000"/>
                <w:kern w:val="0"/>
                <w:sz w:val="20"/>
                <w:szCs w:val="20"/>
              </w:rPr>
              <w:t xml:space="preserve">GCF </w:t>
            </w:r>
            <w:bookmarkStart w:id="135" w:name="OLE_LINK70"/>
            <w:r>
              <w:rPr>
                <w:rFonts w:ascii="Times New Roman" w:hAnsi="Times New Roman"/>
                <w:color w:val="000000"/>
                <w:kern w:val="0"/>
                <w:sz w:val="20"/>
                <w:szCs w:val="20"/>
              </w:rPr>
              <w:t>(τ = 0.75)</w:t>
            </w:r>
            <w:bookmarkEnd w:id="135"/>
          </w:p>
        </w:tc>
      </w:tr>
      <w:tr w14:paraId="3026F490">
        <w:trPr>
          <w:jc w:val="center"/>
        </w:trPr>
        <w:tc>
          <w:tcPr>
            <w:tcW w:w="1681" w:type="pct"/>
            <w:tcBorders>
              <w:top w:val="nil"/>
              <w:left w:val="nil"/>
              <w:bottom w:val="nil"/>
              <w:right w:val="nil"/>
            </w:tcBorders>
          </w:tcPr>
          <w:p w14:paraId="793EA85F">
            <w:pPr>
              <w:pStyle w:val="69"/>
              <w:spacing w:line="360" w:lineRule="auto"/>
              <w:rPr>
                <w:rFonts w:ascii="Times New Roman" w:hAnsi="Times New Roman"/>
                <w:color w:val="000000"/>
                <w:sz w:val="20"/>
                <w:szCs w:val="20"/>
              </w:rPr>
            </w:pPr>
            <w:r>
              <w:rPr>
                <w:rFonts w:ascii="Times New Roman" w:hAnsi="Times New Roman"/>
                <w:color w:val="000000"/>
                <w:sz w:val="20"/>
                <w:szCs w:val="20"/>
              </w:rPr>
              <w:t>Estimation methods</w:t>
            </w:r>
          </w:p>
        </w:tc>
        <w:tc>
          <w:tcPr>
            <w:tcW w:w="1660" w:type="pct"/>
            <w:tcBorders>
              <w:top w:val="single" w:color="auto" w:sz="4" w:space="0"/>
              <w:left w:val="nil"/>
              <w:bottom w:val="single" w:color="auto" w:sz="4" w:space="0"/>
              <w:right w:val="nil"/>
            </w:tcBorders>
            <w:vAlign w:val="center"/>
          </w:tcPr>
          <w:p w14:paraId="73CE3906">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c>
          <w:tcPr>
            <w:tcW w:w="1659" w:type="pct"/>
            <w:tcBorders>
              <w:top w:val="single" w:color="auto" w:sz="4" w:space="0"/>
              <w:left w:val="nil"/>
              <w:bottom w:val="single" w:color="auto" w:sz="4" w:space="0"/>
            </w:tcBorders>
          </w:tcPr>
          <w:p w14:paraId="496E8667">
            <w:pPr>
              <w:pStyle w:val="69"/>
              <w:spacing w:line="360" w:lineRule="auto"/>
              <w:rPr>
                <w:rFonts w:ascii="Times New Roman" w:hAnsi="Times New Roman"/>
                <w:color w:val="000000"/>
                <w:sz w:val="20"/>
                <w:szCs w:val="20"/>
              </w:rPr>
            </w:pPr>
            <w:r>
              <w:rPr>
                <w:rFonts w:ascii="Times New Roman" w:hAnsi="Times New Roman"/>
                <w:color w:val="000000"/>
                <w:sz w:val="20"/>
                <w:szCs w:val="20"/>
              </w:rPr>
              <w:t>Fixed Effects</w:t>
            </w:r>
          </w:p>
        </w:tc>
      </w:tr>
      <w:tr w14:paraId="6841704B">
        <w:trPr>
          <w:jc w:val="center"/>
        </w:trPr>
        <w:tc>
          <w:tcPr>
            <w:tcW w:w="1681" w:type="pct"/>
            <w:tcBorders>
              <w:top w:val="single" w:color="auto" w:sz="4" w:space="0"/>
              <w:left w:val="nil"/>
              <w:bottom w:val="nil"/>
              <w:right w:val="nil"/>
            </w:tcBorders>
          </w:tcPr>
          <w:p w14:paraId="6180F54D">
            <w:pPr>
              <w:pStyle w:val="69"/>
              <w:spacing w:line="360" w:lineRule="auto"/>
              <w:rPr>
                <w:rFonts w:ascii="Times New Roman" w:hAnsi="Times New Roman"/>
                <w:color w:val="000000"/>
                <w:sz w:val="20"/>
                <w:szCs w:val="20"/>
              </w:rPr>
            </w:pPr>
            <w:r>
              <w:rPr>
                <w:rFonts w:ascii="Times New Roman" w:hAnsi="Times New Roman"/>
                <w:color w:val="000000"/>
                <w:sz w:val="20"/>
                <w:szCs w:val="20"/>
              </w:rPr>
              <w:t>TEI_agri</w:t>
            </w:r>
          </w:p>
        </w:tc>
        <w:tc>
          <w:tcPr>
            <w:tcW w:w="1660" w:type="pct"/>
            <w:tcBorders>
              <w:top w:val="single" w:color="auto" w:sz="4" w:space="0"/>
              <w:left w:val="nil"/>
              <w:bottom w:val="nil"/>
              <w:right w:val="nil"/>
            </w:tcBorders>
          </w:tcPr>
          <w:p w14:paraId="2B4F85A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-0.0181686</w:t>
            </w:r>
          </w:p>
        </w:tc>
        <w:tc>
          <w:tcPr>
            <w:tcW w:w="1659" w:type="pct"/>
            <w:tcBorders>
              <w:top w:val="single" w:color="auto" w:sz="4" w:space="0"/>
              <w:left w:val="nil"/>
              <w:bottom w:val="nil"/>
            </w:tcBorders>
          </w:tcPr>
          <w:p w14:paraId="24C65897">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0.0092205</w:t>
            </w:r>
          </w:p>
        </w:tc>
      </w:tr>
      <w:tr w14:paraId="1E0DA436">
        <w:trPr>
          <w:jc w:val="center"/>
        </w:trPr>
        <w:tc>
          <w:tcPr>
            <w:tcW w:w="1681" w:type="pct"/>
            <w:tcBorders>
              <w:top w:val="nil"/>
              <w:left w:val="nil"/>
              <w:bottom w:val="nil"/>
              <w:right w:val="nil"/>
            </w:tcBorders>
          </w:tcPr>
          <w:p w14:paraId="317DEC7A">
            <w:pPr>
              <w:pStyle w:val="69"/>
              <w:spacing w:line="360" w:lineRule="auto"/>
              <w:rPr>
                <w:rFonts w:ascii="Times New Roman" w:hAnsi="Times New Roman"/>
                <w:color w:val="000000"/>
                <w:sz w:val="20"/>
                <w:szCs w:val="20"/>
              </w:rPr>
            </w:pPr>
          </w:p>
        </w:tc>
        <w:tc>
          <w:tcPr>
            <w:tcW w:w="1660" w:type="pct"/>
            <w:tcBorders>
              <w:top w:val="nil"/>
              <w:left w:val="nil"/>
              <w:bottom w:val="nil"/>
              <w:right w:val="nil"/>
            </w:tcBorders>
          </w:tcPr>
          <w:p w14:paraId="46E5C821">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(0.0129603)</w:t>
            </w:r>
          </w:p>
        </w:tc>
        <w:tc>
          <w:tcPr>
            <w:tcW w:w="1659" w:type="pct"/>
            <w:tcBorders>
              <w:top w:val="nil"/>
              <w:left w:val="nil"/>
              <w:bottom w:val="nil"/>
            </w:tcBorders>
          </w:tcPr>
          <w:p w14:paraId="783B8296">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(0.0089387)</w:t>
            </w:r>
          </w:p>
        </w:tc>
      </w:tr>
      <w:tr w14:paraId="1D8BAD0B">
        <w:trPr>
          <w:jc w:val="center"/>
        </w:trPr>
        <w:tc>
          <w:tcPr>
            <w:tcW w:w="1681" w:type="pct"/>
            <w:tcBorders>
              <w:top w:val="nil"/>
              <w:left w:val="nil"/>
              <w:bottom w:val="nil"/>
              <w:right w:val="nil"/>
            </w:tcBorders>
          </w:tcPr>
          <w:p w14:paraId="0C617EDE">
            <w:pPr>
              <w:pStyle w:val="69"/>
              <w:spacing w:line="360" w:lineRule="auto"/>
              <w:rPr>
                <w:rFonts w:ascii="Times New Roman" w:hAnsi="Times New Roman"/>
                <w:color w:val="000000"/>
                <w:sz w:val="20"/>
                <w:szCs w:val="20"/>
              </w:rPr>
            </w:pPr>
            <w:r>
              <w:rPr>
                <w:rFonts w:ascii="Times New Roman" w:hAnsi="Times New Roman"/>
                <w:color w:val="000000"/>
                <w:sz w:val="20"/>
                <w:szCs w:val="20"/>
              </w:rPr>
              <w:t>TRADE</w:t>
            </w:r>
          </w:p>
        </w:tc>
        <w:tc>
          <w:tcPr>
            <w:tcW w:w="1660" w:type="pct"/>
            <w:tcBorders>
              <w:top w:val="nil"/>
              <w:left w:val="nil"/>
              <w:bottom w:val="nil"/>
              <w:right w:val="nil"/>
            </w:tcBorders>
          </w:tcPr>
          <w:p w14:paraId="134CB68F">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0.0419709***</w:t>
            </w:r>
          </w:p>
        </w:tc>
        <w:tc>
          <w:tcPr>
            <w:tcW w:w="1659" w:type="pct"/>
            <w:tcBorders>
              <w:top w:val="nil"/>
              <w:left w:val="nil"/>
              <w:bottom w:val="nil"/>
            </w:tcBorders>
          </w:tcPr>
          <w:p w14:paraId="0104505D">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0.0121712*</w:t>
            </w:r>
          </w:p>
        </w:tc>
      </w:tr>
      <w:tr w14:paraId="3F7447F3">
        <w:trPr>
          <w:jc w:val="center"/>
        </w:trPr>
        <w:tc>
          <w:tcPr>
            <w:tcW w:w="1681" w:type="pct"/>
            <w:tcBorders>
              <w:top w:val="nil"/>
              <w:left w:val="nil"/>
              <w:bottom w:val="nil"/>
              <w:right w:val="nil"/>
            </w:tcBorders>
          </w:tcPr>
          <w:p w14:paraId="127A4DC0">
            <w:pPr>
              <w:pStyle w:val="69"/>
              <w:spacing w:line="360" w:lineRule="auto"/>
              <w:rPr>
                <w:rFonts w:ascii="Times New Roman" w:hAnsi="Times New Roman"/>
                <w:color w:val="000000"/>
                <w:sz w:val="20"/>
                <w:szCs w:val="20"/>
              </w:rPr>
            </w:pPr>
          </w:p>
        </w:tc>
        <w:tc>
          <w:tcPr>
            <w:tcW w:w="1660" w:type="pct"/>
            <w:tcBorders>
              <w:top w:val="nil"/>
              <w:left w:val="nil"/>
              <w:bottom w:val="nil"/>
              <w:right w:val="nil"/>
            </w:tcBorders>
          </w:tcPr>
          <w:p w14:paraId="79057A0D">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(0.013126)</w:t>
            </w:r>
          </w:p>
        </w:tc>
        <w:tc>
          <w:tcPr>
            <w:tcW w:w="1659" w:type="pct"/>
            <w:tcBorders>
              <w:top w:val="nil"/>
              <w:left w:val="nil"/>
              <w:bottom w:val="nil"/>
            </w:tcBorders>
          </w:tcPr>
          <w:p w14:paraId="62284F3A">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(0.0062925)</w:t>
            </w:r>
          </w:p>
        </w:tc>
      </w:tr>
      <w:tr w14:paraId="34F73450">
        <w:trPr>
          <w:trHeight w:val="90" w:hRule="atLeast"/>
          <w:jc w:val="center"/>
        </w:trPr>
        <w:tc>
          <w:tcPr>
            <w:tcW w:w="1681" w:type="pct"/>
            <w:tcBorders>
              <w:top w:val="nil"/>
              <w:left w:val="nil"/>
              <w:bottom w:val="nil"/>
              <w:right w:val="nil"/>
            </w:tcBorders>
          </w:tcPr>
          <w:p w14:paraId="6AF913FC">
            <w:pPr>
              <w:pStyle w:val="69"/>
              <w:spacing w:line="360" w:lineRule="auto"/>
              <w:rPr>
                <w:rFonts w:ascii="Times New Roman" w:hAnsi="Times New Roman"/>
                <w:color w:val="000000"/>
                <w:sz w:val="20"/>
                <w:szCs w:val="20"/>
              </w:rPr>
            </w:pPr>
            <w:r>
              <w:rPr>
                <w:rFonts w:ascii="Times New Roman" w:hAnsi="Times New Roman"/>
                <w:color w:val="000000"/>
                <w:sz w:val="20"/>
                <w:szCs w:val="20"/>
              </w:rPr>
              <w:t>POP</w:t>
            </w:r>
          </w:p>
        </w:tc>
        <w:tc>
          <w:tcPr>
            <w:tcW w:w="1660" w:type="pct"/>
            <w:tcBorders>
              <w:top w:val="nil"/>
              <w:left w:val="nil"/>
              <w:bottom w:val="nil"/>
              <w:right w:val="nil"/>
            </w:tcBorders>
          </w:tcPr>
          <w:p w14:paraId="70809B29">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0.352842</w:t>
            </w:r>
          </w:p>
        </w:tc>
        <w:tc>
          <w:tcPr>
            <w:tcW w:w="1659" w:type="pct"/>
            <w:tcBorders>
              <w:top w:val="nil"/>
              <w:left w:val="nil"/>
              <w:bottom w:val="nil"/>
            </w:tcBorders>
          </w:tcPr>
          <w:p w14:paraId="10CD7466">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0.3007628</w:t>
            </w:r>
          </w:p>
        </w:tc>
      </w:tr>
      <w:tr w14:paraId="370AAF25">
        <w:trPr>
          <w:jc w:val="center"/>
        </w:trPr>
        <w:tc>
          <w:tcPr>
            <w:tcW w:w="1681" w:type="pct"/>
            <w:tcBorders>
              <w:top w:val="nil"/>
              <w:left w:val="nil"/>
              <w:bottom w:val="nil"/>
              <w:right w:val="nil"/>
            </w:tcBorders>
          </w:tcPr>
          <w:p w14:paraId="0A9EB0F1">
            <w:pPr>
              <w:pStyle w:val="69"/>
              <w:spacing w:line="360" w:lineRule="auto"/>
              <w:rPr>
                <w:rFonts w:ascii="Times New Roman" w:hAnsi="Times New Roman"/>
                <w:color w:val="000000"/>
                <w:sz w:val="20"/>
                <w:szCs w:val="20"/>
              </w:rPr>
            </w:pPr>
          </w:p>
        </w:tc>
        <w:tc>
          <w:tcPr>
            <w:tcW w:w="1660" w:type="pct"/>
            <w:tcBorders>
              <w:top w:val="nil"/>
              <w:left w:val="nil"/>
              <w:bottom w:val="nil"/>
              <w:right w:val="nil"/>
            </w:tcBorders>
          </w:tcPr>
          <w:p w14:paraId="04F6B2CB">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(0.4435225)</w:t>
            </w:r>
          </w:p>
        </w:tc>
        <w:tc>
          <w:tcPr>
            <w:tcW w:w="1659" w:type="pct"/>
            <w:tcBorders>
              <w:top w:val="nil"/>
              <w:left w:val="nil"/>
              <w:bottom w:val="nil"/>
            </w:tcBorders>
          </w:tcPr>
          <w:p w14:paraId="0735D3CA">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(0.7743932)</w:t>
            </w:r>
          </w:p>
        </w:tc>
      </w:tr>
      <w:tr w14:paraId="27FDF496">
        <w:trPr>
          <w:jc w:val="center"/>
        </w:trPr>
        <w:tc>
          <w:tcPr>
            <w:tcW w:w="1681" w:type="pct"/>
            <w:tcBorders>
              <w:top w:val="nil"/>
              <w:left w:val="nil"/>
              <w:bottom w:val="nil"/>
              <w:right w:val="nil"/>
            </w:tcBorders>
          </w:tcPr>
          <w:p w14:paraId="2FEDF236">
            <w:pPr>
              <w:pStyle w:val="69"/>
              <w:spacing w:line="360" w:lineRule="auto"/>
              <w:rPr>
                <w:rFonts w:ascii="Times New Roman" w:hAnsi="Times New Roman"/>
                <w:color w:val="000000"/>
                <w:sz w:val="20"/>
                <w:szCs w:val="20"/>
              </w:rPr>
            </w:pPr>
            <w:r>
              <w:rPr>
                <w:rFonts w:ascii="Times New Roman" w:hAnsi="Times New Roman"/>
                <w:color w:val="000000"/>
                <w:sz w:val="20"/>
                <w:szCs w:val="20"/>
              </w:rPr>
              <w:t>UP</w:t>
            </w:r>
          </w:p>
        </w:tc>
        <w:tc>
          <w:tcPr>
            <w:tcW w:w="1660" w:type="pct"/>
            <w:tcBorders>
              <w:top w:val="nil"/>
              <w:left w:val="nil"/>
              <w:bottom w:val="nil"/>
              <w:right w:val="nil"/>
            </w:tcBorders>
          </w:tcPr>
          <w:p w14:paraId="5671DE4D">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1.835004***</w:t>
            </w:r>
          </w:p>
        </w:tc>
        <w:tc>
          <w:tcPr>
            <w:tcW w:w="1659" w:type="pct"/>
            <w:tcBorders>
              <w:top w:val="nil"/>
              <w:left w:val="nil"/>
              <w:bottom w:val="nil"/>
            </w:tcBorders>
          </w:tcPr>
          <w:p w14:paraId="696A2442">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1.316923***</w:t>
            </w:r>
          </w:p>
        </w:tc>
      </w:tr>
      <w:tr w14:paraId="241E0C8B">
        <w:trPr>
          <w:trHeight w:val="411" w:hRule="atLeast"/>
          <w:jc w:val="center"/>
        </w:trPr>
        <w:tc>
          <w:tcPr>
            <w:tcW w:w="1681" w:type="pct"/>
            <w:tcBorders>
              <w:top w:val="nil"/>
              <w:left w:val="nil"/>
              <w:bottom w:val="single" w:color="auto" w:sz="4" w:space="0"/>
              <w:right w:val="nil"/>
            </w:tcBorders>
          </w:tcPr>
          <w:p w14:paraId="549CD497">
            <w:pPr>
              <w:pStyle w:val="69"/>
              <w:spacing w:line="360" w:lineRule="auto"/>
              <w:rPr>
                <w:rFonts w:ascii="Times New Roman" w:hAnsi="Times New Roman"/>
                <w:color w:val="000000"/>
                <w:sz w:val="20"/>
                <w:szCs w:val="20"/>
              </w:rPr>
            </w:pPr>
          </w:p>
        </w:tc>
        <w:tc>
          <w:tcPr>
            <w:tcW w:w="1660" w:type="pct"/>
            <w:tcBorders>
              <w:top w:val="nil"/>
              <w:left w:val="nil"/>
              <w:bottom w:val="single" w:color="auto" w:sz="4" w:space="0"/>
              <w:right w:val="nil"/>
            </w:tcBorders>
          </w:tcPr>
          <w:p w14:paraId="1F94843E">
            <w:pPr>
              <w:pStyle w:val="69"/>
              <w:spacing w:line="360" w:lineRule="auto"/>
              <w:jc w:val="left"/>
              <w:rPr>
                <w:rFonts w:ascii="Times New Roman" w:hAnsi="Times New Roman"/>
                <w:color w:val="000000"/>
                <w:sz w:val="20"/>
                <w:szCs w:val="20"/>
              </w:rPr>
            </w:pPr>
            <w:r>
              <w:rPr>
                <w:rFonts w:ascii="Times New Roman" w:hAnsi="Times New Roman"/>
                <w:color w:val="000000"/>
                <w:sz w:val="20"/>
                <w:szCs w:val="20"/>
              </w:rPr>
              <w:t>(0.2931897)</w:t>
            </w:r>
          </w:p>
        </w:tc>
        <w:tc>
          <w:tcPr>
            <w:tcW w:w="1659" w:type="pct"/>
            <w:tcBorders>
              <w:top w:val="nil"/>
              <w:left w:val="nil"/>
              <w:bottom w:val="single" w:color="auto" w:sz="4" w:space="0"/>
            </w:tcBorders>
          </w:tcPr>
          <w:p w14:paraId="1FA1FAC5">
            <w:pPr>
              <w:pStyle w:val="69"/>
              <w:tabs>
                <w:tab w:val="left" w:pos="680"/>
              </w:tabs>
              <w:spacing w:line="360" w:lineRule="auto"/>
              <w:jc w:val="left"/>
              <w:rPr>
                <w:rFonts w:ascii="Times New Roman" w:hAnsi="Times New Roman"/>
                <w:color w:val="000000"/>
                <w:sz w:val="20"/>
                <w:szCs w:val="20"/>
              </w:rPr>
            </w:pPr>
            <w:r>
              <w:rPr>
                <w:rFonts w:ascii="Times New Roman" w:hAnsi="Times New Roman"/>
                <w:color w:val="000000"/>
                <w:sz w:val="20"/>
                <w:szCs w:val="20"/>
              </w:rPr>
              <w:t>(0.3212007)</w:t>
            </w:r>
          </w:p>
        </w:tc>
      </w:tr>
      <w:tr w14:paraId="26BD930F">
        <w:trPr>
          <w:trHeight w:val="411" w:hRule="atLeast"/>
          <w:jc w:val="center"/>
        </w:trPr>
        <w:tc>
          <w:tcPr>
            <w:tcW w:w="1681" w:type="pct"/>
            <w:tcBorders>
              <w:top w:val="single" w:color="auto" w:sz="4" w:space="0"/>
              <w:left w:val="nil"/>
              <w:bottom w:val="nil"/>
              <w:right w:val="nil"/>
            </w:tcBorders>
          </w:tcPr>
          <w:p w14:paraId="2FD3F415">
            <w:pPr>
              <w:pStyle w:val="69"/>
              <w:autoSpaceDE w:val="0"/>
              <w:spacing w:line="360" w:lineRule="auto"/>
              <w:rPr>
                <w:rFonts w:ascii="Times New Roman" w:hAnsi="Times New Roman"/>
                <w:color w:val="000000"/>
                <w:sz w:val="20"/>
                <w:szCs w:val="20"/>
              </w:rPr>
            </w:pPr>
            <w:r>
              <w:rPr>
                <w:rFonts w:ascii="Times New Roman" w:hAnsi="Times New Roman"/>
                <w:color w:val="000000"/>
                <w:sz w:val="20"/>
                <w:szCs w:val="20"/>
              </w:rPr>
              <w:t>Number of observations</w:t>
            </w:r>
          </w:p>
        </w:tc>
        <w:tc>
          <w:tcPr>
            <w:tcW w:w="1660" w:type="pct"/>
            <w:tcBorders>
              <w:top w:val="single" w:color="auto" w:sz="4" w:space="0"/>
              <w:left w:val="nil"/>
              <w:bottom w:val="nil"/>
              <w:right w:val="nil"/>
            </w:tcBorders>
          </w:tcPr>
          <w:p w14:paraId="71479D52">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c>
          <w:tcPr>
            <w:tcW w:w="1659" w:type="pct"/>
            <w:tcBorders>
              <w:top w:val="single" w:color="auto" w:sz="4" w:space="0"/>
              <w:left w:val="nil"/>
              <w:bottom w:val="nil"/>
            </w:tcBorders>
          </w:tcPr>
          <w:p w14:paraId="636B4EDE">
            <w:pPr>
              <w:pStyle w:val="69"/>
              <w:spacing w:line="360" w:lineRule="auto"/>
              <w:rPr>
                <w:rFonts w:ascii="Times New Roman" w:hAnsi="Times New Roman"/>
                <w:color w:val="000000"/>
                <w:sz w:val="20"/>
                <w:szCs w:val="20"/>
              </w:rPr>
            </w:pPr>
            <w:r>
              <w:rPr>
                <w:rFonts w:ascii="Times New Roman" w:hAnsi="Times New Roman"/>
                <w:color w:val="000000"/>
                <w:sz w:val="20"/>
                <w:szCs w:val="20"/>
              </w:rPr>
              <w:t>325</w:t>
            </w:r>
          </w:p>
        </w:tc>
      </w:tr>
      <w:tr w14:paraId="1155F24D">
        <w:trPr>
          <w:trHeight w:val="411" w:hRule="atLeast"/>
          <w:jc w:val="center"/>
        </w:trPr>
        <w:tc>
          <w:tcPr>
            <w:tcW w:w="1681" w:type="pct"/>
            <w:tcBorders>
              <w:top w:val="nil"/>
              <w:left w:val="nil"/>
              <w:bottom w:val="single" w:color="000000" w:sz="4" w:space="0"/>
              <w:right w:val="nil"/>
            </w:tcBorders>
          </w:tcPr>
          <w:p w14:paraId="51BF7C51">
            <w:pPr>
              <w:pStyle w:val="69"/>
              <w:spacing w:line="360" w:lineRule="auto"/>
              <w:rPr>
                <w:rFonts w:ascii="Times New Roman" w:hAnsi="Times New Roman"/>
                <w:color w:val="000000"/>
                <w:sz w:val="20"/>
                <w:szCs w:val="20"/>
              </w:rPr>
            </w:pPr>
            <w:r>
              <w:rPr>
                <w:rFonts w:ascii="Times New Roman" w:hAnsi="Times New Roman"/>
                <w:color w:val="000000"/>
                <w:sz w:val="20"/>
                <w:szCs w:val="20"/>
              </w:rPr>
              <w:t>Number of countries</w:t>
            </w:r>
          </w:p>
        </w:tc>
        <w:tc>
          <w:tcPr>
            <w:tcW w:w="1660" w:type="pct"/>
            <w:tcBorders>
              <w:top w:val="nil"/>
              <w:left w:val="nil"/>
              <w:bottom w:val="single" w:color="000000" w:sz="4" w:space="0"/>
              <w:right w:val="nil"/>
            </w:tcBorders>
          </w:tcPr>
          <w:p w14:paraId="3A110F69">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c>
          <w:tcPr>
            <w:tcW w:w="1659" w:type="pct"/>
            <w:tcBorders>
              <w:top w:val="nil"/>
              <w:left w:val="nil"/>
              <w:bottom w:val="single" w:color="auto" w:sz="4" w:space="0"/>
            </w:tcBorders>
          </w:tcPr>
          <w:p w14:paraId="3B88FCC5">
            <w:pPr>
              <w:pStyle w:val="69"/>
              <w:spacing w:line="360" w:lineRule="auto"/>
              <w:rPr>
                <w:rFonts w:ascii="Times New Roman" w:hAnsi="Times New Roman"/>
                <w:color w:val="000000"/>
                <w:sz w:val="20"/>
                <w:szCs w:val="20"/>
              </w:rPr>
            </w:pPr>
            <w:r>
              <w:rPr>
                <w:rFonts w:ascii="Times New Roman" w:hAnsi="Times New Roman"/>
                <w:color w:val="000000"/>
                <w:sz w:val="20"/>
                <w:szCs w:val="20"/>
              </w:rPr>
              <w:t>13</w:t>
            </w:r>
          </w:p>
        </w:tc>
      </w:tr>
    </w:tbl>
    <w:p w14:paraId="2CFC3779">
      <w:pPr>
        <w:rPr>
          <w:rFonts w:cs="Times New Roman"/>
          <w:b/>
          <w:bCs w:val="0"/>
          <w:color w:val="000000"/>
        </w:rPr>
      </w:pPr>
    </w:p>
    <w:p w14:paraId="1F43B9F1">
      <w:pPr>
        <w:pStyle w:val="7"/>
      </w:pPr>
      <w:bookmarkStart w:id="136" w:name="_Toc216867806"/>
      <w:r>
        <w:t xml:space="preserve">Table </w:t>
      </w:r>
      <w:r>
        <w:rPr>
          <w:rFonts w:hint="eastAsia" w:eastAsia="宋体"/>
          <w:lang w:val="en-US" w:eastAsia="zh-CN"/>
        </w:rPr>
        <w:t>17</w:t>
      </w:r>
      <w:r>
        <w:t xml:space="preserve"> Robustness Test Using Quantile (Model 3)</w:t>
      </w:r>
      <w:bookmarkEnd w:id="136"/>
    </w:p>
    <w:tbl>
      <w:tblPr>
        <w:tblStyle w:val="25"/>
        <w:tblW w:w="460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487"/>
        <w:gridCol w:w="1537"/>
        <w:gridCol w:w="1767"/>
        <w:gridCol w:w="1725"/>
      </w:tblGrid>
      <w:tr w14:paraId="3623F064">
        <w:tc>
          <w:tcPr>
            <w:tcW w:w="810" w:type="pct"/>
            <w:tcBorders>
              <w:top w:val="single" w:color="auto" w:sz="4" w:space="0"/>
              <w:left w:val="nil"/>
              <w:bottom w:val="nil"/>
              <w:right w:val="nil"/>
            </w:tcBorders>
          </w:tcPr>
          <w:p w14:paraId="0441061B">
            <w:pPr>
              <w:pStyle w:val="22"/>
              <w:widowControl/>
              <w:autoSpaceDE w:val="0"/>
              <w:spacing w:before="100" w:beforeAutospacing="1"/>
              <w:jc w:val="left"/>
              <w:rPr>
                <w:rFonts w:eastAsia="宋体" w:cs="Times New Roman"/>
                <w:color w:val="000000"/>
                <w:sz w:val="20"/>
                <w:szCs w:val="20"/>
              </w:rPr>
            </w:pPr>
            <w:bookmarkStart w:id="137" w:name="_Hlk216095400"/>
            <w:r>
              <w:rPr>
                <w:rFonts w:cs="Times New Roman"/>
                <w:color w:val="000000"/>
                <w:sz w:val="20"/>
                <w:szCs w:val="20"/>
              </w:rPr>
              <w:t>Dependent variable</w:t>
            </w:r>
          </w:p>
        </w:tc>
        <w:tc>
          <w:tcPr>
            <w:tcW w:w="956" w:type="pct"/>
            <w:tcBorders>
              <w:top w:val="single" w:color="auto" w:sz="4" w:space="0"/>
              <w:left w:val="nil"/>
              <w:bottom w:val="single" w:color="auto" w:sz="4" w:space="0"/>
              <w:right w:val="nil"/>
            </w:tcBorders>
            <w:vAlign w:val="center"/>
          </w:tcPr>
          <w:p w14:paraId="4D93EC16">
            <w:pPr>
              <w:pStyle w:val="22"/>
              <w:widowControl/>
              <w:autoSpaceDE w:val="0"/>
              <w:spacing w:before="100" w:beforeAutospacing="1"/>
              <w:jc w:val="left"/>
              <w:rPr>
                <w:rFonts w:cs="Times New Roman"/>
                <w:color w:val="000000"/>
                <w:kern w:val="2"/>
                <w:sz w:val="20"/>
                <w:szCs w:val="20"/>
              </w:rPr>
            </w:pPr>
            <w:r>
              <w:rPr>
                <w:rFonts w:cs="Times New Roman"/>
                <w:color w:val="000000"/>
                <w:sz w:val="20"/>
                <w:szCs w:val="20"/>
              </w:rPr>
              <w:t>AR (τ = 0.25)</w:t>
            </w:r>
          </w:p>
        </w:tc>
        <w:tc>
          <w:tcPr>
            <w:tcW w:w="988" w:type="pct"/>
            <w:tcBorders>
              <w:top w:val="single" w:color="auto" w:sz="4" w:space="0"/>
              <w:left w:val="nil"/>
              <w:bottom w:val="single" w:color="auto" w:sz="4" w:space="0"/>
              <w:right w:val="nil"/>
            </w:tcBorders>
            <w:vAlign w:val="center"/>
          </w:tcPr>
          <w:p w14:paraId="3ED4DD43">
            <w:pPr>
              <w:pStyle w:val="22"/>
              <w:widowControl/>
              <w:spacing w:before="100" w:beforeAutospacing="1"/>
              <w:rPr>
                <w:rFonts w:cs="Times New Roman"/>
                <w:color w:val="000000"/>
                <w:sz w:val="20"/>
                <w:szCs w:val="20"/>
              </w:rPr>
            </w:pPr>
            <w:r>
              <w:rPr>
                <w:rFonts w:cs="Times New Roman"/>
                <w:color w:val="000000"/>
                <w:sz w:val="20"/>
                <w:szCs w:val="20"/>
              </w:rPr>
              <w:t>AR (τ = 0.75)</w:t>
            </w:r>
          </w:p>
        </w:tc>
        <w:tc>
          <w:tcPr>
            <w:tcW w:w="1136" w:type="pct"/>
            <w:tcBorders>
              <w:top w:val="single" w:color="auto" w:sz="4" w:space="0"/>
              <w:left w:val="nil"/>
              <w:bottom w:val="single" w:color="auto" w:sz="4" w:space="0"/>
              <w:right w:val="nil"/>
            </w:tcBorders>
            <w:vAlign w:val="center"/>
          </w:tcPr>
          <w:p w14:paraId="073921F2">
            <w:pPr>
              <w:pStyle w:val="22"/>
              <w:widowControl/>
              <w:autoSpaceDE w:val="0"/>
              <w:spacing w:before="100" w:beforeAutospacing="1"/>
              <w:jc w:val="left"/>
              <w:rPr>
                <w:rFonts w:cs="Times New Roman"/>
                <w:color w:val="000000"/>
                <w:sz w:val="20"/>
                <w:szCs w:val="20"/>
              </w:rPr>
            </w:pPr>
            <w:r>
              <w:rPr>
                <w:rFonts w:cs="Times New Roman"/>
                <w:color w:val="000000"/>
                <w:sz w:val="20"/>
                <w:szCs w:val="20"/>
              </w:rPr>
              <w:t>INFLA (τ = 0.25)</w:t>
            </w:r>
          </w:p>
        </w:tc>
        <w:tc>
          <w:tcPr>
            <w:tcW w:w="1109" w:type="pct"/>
            <w:tcBorders>
              <w:top w:val="single" w:color="auto" w:sz="4" w:space="0"/>
              <w:left w:val="nil"/>
              <w:bottom w:val="single" w:color="auto" w:sz="4" w:space="0"/>
            </w:tcBorders>
            <w:vAlign w:val="center"/>
          </w:tcPr>
          <w:p w14:paraId="35D7E2C8">
            <w:pPr>
              <w:pStyle w:val="22"/>
              <w:widowControl/>
              <w:autoSpaceDE w:val="0"/>
              <w:spacing w:before="100" w:beforeAutospacing="1"/>
              <w:jc w:val="left"/>
              <w:rPr>
                <w:rFonts w:cs="Times New Roman"/>
                <w:color w:val="000000"/>
                <w:sz w:val="20"/>
                <w:szCs w:val="20"/>
              </w:rPr>
            </w:pPr>
            <w:r>
              <w:rPr>
                <w:rFonts w:cs="Times New Roman"/>
                <w:color w:val="000000"/>
                <w:sz w:val="20"/>
                <w:szCs w:val="20"/>
              </w:rPr>
              <w:t>INFLA (τ = 0.75)</w:t>
            </w:r>
          </w:p>
        </w:tc>
      </w:tr>
      <w:bookmarkEnd w:id="137"/>
      <w:tr w14:paraId="37AE6FAF">
        <w:tc>
          <w:tcPr>
            <w:tcW w:w="810" w:type="pct"/>
            <w:tcBorders>
              <w:top w:val="nil"/>
              <w:left w:val="nil"/>
              <w:bottom w:val="nil"/>
              <w:right w:val="nil"/>
            </w:tcBorders>
          </w:tcPr>
          <w:p w14:paraId="1BCA0F16">
            <w:pPr>
              <w:pStyle w:val="22"/>
              <w:widowControl/>
              <w:autoSpaceDE w:val="0"/>
              <w:spacing w:before="100" w:beforeAutospacing="1"/>
              <w:jc w:val="left"/>
              <w:rPr>
                <w:rFonts w:cs="Times New Roman"/>
                <w:color w:val="000000"/>
                <w:sz w:val="20"/>
                <w:szCs w:val="20"/>
              </w:rPr>
            </w:pPr>
            <w:r>
              <w:rPr>
                <w:rFonts w:cs="Times New Roman"/>
                <w:color w:val="000000"/>
                <w:sz w:val="20"/>
                <w:szCs w:val="20"/>
              </w:rPr>
              <w:t>Estimation methods</w:t>
            </w:r>
          </w:p>
        </w:tc>
        <w:tc>
          <w:tcPr>
            <w:tcW w:w="956" w:type="pct"/>
            <w:tcBorders>
              <w:top w:val="single" w:color="auto" w:sz="4" w:space="0"/>
              <w:left w:val="nil"/>
              <w:bottom w:val="single" w:color="auto" w:sz="4" w:space="0"/>
              <w:right w:val="nil"/>
            </w:tcBorders>
            <w:vAlign w:val="center"/>
          </w:tcPr>
          <w:p w14:paraId="31B181E8">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988" w:type="pct"/>
            <w:tcBorders>
              <w:top w:val="single" w:color="auto" w:sz="4" w:space="0"/>
              <w:left w:val="nil"/>
              <w:bottom w:val="single" w:color="auto" w:sz="4" w:space="0"/>
              <w:right w:val="nil"/>
            </w:tcBorders>
            <w:vAlign w:val="center"/>
          </w:tcPr>
          <w:p w14:paraId="01D15CA1">
            <w:pPr>
              <w:pStyle w:val="22"/>
              <w:widowControl/>
              <w:spacing w:before="100" w:beforeAutospacing="1"/>
              <w:rPr>
                <w:rFonts w:cs="Times New Roman"/>
                <w:color w:val="000000"/>
                <w:sz w:val="20"/>
                <w:szCs w:val="20"/>
              </w:rPr>
            </w:pPr>
            <w:r>
              <w:rPr>
                <w:rFonts w:cs="Times New Roman"/>
                <w:color w:val="000000"/>
                <w:sz w:val="20"/>
                <w:szCs w:val="20"/>
              </w:rPr>
              <w:t>Fixed Effects</w:t>
            </w:r>
          </w:p>
        </w:tc>
        <w:tc>
          <w:tcPr>
            <w:tcW w:w="1136" w:type="pct"/>
            <w:tcBorders>
              <w:top w:val="single" w:color="auto" w:sz="4" w:space="0"/>
              <w:left w:val="nil"/>
              <w:bottom w:val="single" w:color="auto" w:sz="4" w:space="0"/>
              <w:right w:val="nil"/>
            </w:tcBorders>
            <w:vAlign w:val="center"/>
          </w:tcPr>
          <w:p w14:paraId="57DB3A91">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c>
          <w:tcPr>
            <w:tcW w:w="1109" w:type="pct"/>
            <w:tcBorders>
              <w:top w:val="single" w:color="auto" w:sz="4" w:space="0"/>
              <w:left w:val="nil"/>
              <w:bottom w:val="single" w:color="auto" w:sz="4" w:space="0"/>
            </w:tcBorders>
            <w:vAlign w:val="center"/>
          </w:tcPr>
          <w:p w14:paraId="1062C1B8">
            <w:pPr>
              <w:pStyle w:val="22"/>
              <w:widowControl/>
              <w:autoSpaceDE w:val="0"/>
              <w:spacing w:before="100" w:beforeAutospacing="1"/>
              <w:jc w:val="left"/>
              <w:rPr>
                <w:rFonts w:cs="Times New Roman"/>
                <w:color w:val="000000"/>
                <w:sz w:val="20"/>
                <w:szCs w:val="20"/>
              </w:rPr>
            </w:pPr>
            <w:r>
              <w:rPr>
                <w:rFonts w:cs="Times New Roman"/>
                <w:color w:val="000000"/>
                <w:sz w:val="20"/>
                <w:szCs w:val="20"/>
              </w:rPr>
              <w:t>Fixed Effects</w:t>
            </w:r>
          </w:p>
        </w:tc>
      </w:tr>
      <w:tr w14:paraId="128734BE">
        <w:tc>
          <w:tcPr>
            <w:tcW w:w="810" w:type="pct"/>
            <w:tcBorders>
              <w:top w:val="single" w:color="auto" w:sz="4" w:space="0"/>
              <w:left w:val="nil"/>
              <w:bottom w:val="nil"/>
              <w:right w:val="nil"/>
            </w:tcBorders>
          </w:tcPr>
          <w:p w14:paraId="39FF5D1F">
            <w:pPr>
              <w:pStyle w:val="22"/>
              <w:widowControl/>
              <w:autoSpaceDE w:val="0"/>
              <w:spacing w:before="100" w:beforeAutospacing="1"/>
              <w:jc w:val="left"/>
              <w:rPr>
                <w:rFonts w:cs="Times New Roman"/>
                <w:b/>
                <w:color w:val="000000"/>
                <w:sz w:val="20"/>
                <w:szCs w:val="20"/>
              </w:rPr>
            </w:pPr>
            <w:r>
              <w:rPr>
                <w:rFonts w:cs="Times New Roman"/>
                <w:b/>
                <w:bCs w:val="0"/>
                <w:color w:val="000000"/>
                <w:sz w:val="20"/>
                <w:szCs w:val="20"/>
              </w:rPr>
              <w:t>TEI_agri</w:t>
            </w:r>
          </w:p>
        </w:tc>
        <w:tc>
          <w:tcPr>
            <w:tcW w:w="956" w:type="pct"/>
            <w:tcBorders>
              <w:top w:val="single" w:color="auto" w:sz="4" w:space="0"/>
              <w:left w:val="nil"/>
              <w:bottom w:val="nil"/>
              <w:right w:val="nil"/>
            </w:tcBorders>
          </w:tcPr>
          <w:p w14:paraId="14A45238">
            <w:pPr>
              <w:pStyle w:val="22"/>
              <w:widowControl/>
              <w:autoSpaceDE w:val="0"/>
              <w:spacing w:before="100" w:beforeAutospacing="1"/>
              <w:rPr>
                <w:rFonts w:cs="Times New Roman"/>
                <w:color w:val="000000"/>
                <w:sz w:val="20"/>
                <w:szCs w:val="20"/>
              </w:rPr>
            </w:pPr>
            <w:r>
              <w:rPr>
                <w:rFonts w:cs="Times New Roman"/>
                <w:color w:val="000000"/>
                <w:sz w:val="20"/>
                <w:szCs w:val="20"/>
              </w:rPr>
              <w:t>0.1190335***</w:t>
            </w:r>
          </w:p>
        </w:tc>
        <w:tc>
          <w:tcPr>
            <w:tcW w:w="988" w:type="pct"/>
            <w:tcBorders>
              <w:top w:val="single" w:color="auto" w:sz="4" w:space="0"/>
              <w:left w:val="nil"/>
              <w:bottom w:val="nil"/>
              <w:right w:val="nil"/>
            </w:tcBorders>
          </w:tcPr>
          <w:p w14:paraId="7EF2EDA8">
            <w:pPr>
              <w:pStyle w:val="22"/>
              <w:widowControl/>
              <w:spacing w:before="100" w:beforeAutospacing="1"/>
              <w:rPr>
                <w:rFonts w:cs="Times New Roman"/>
                <w:color w:val="000000"/>
                <w:sz w:val="20"/>
                <w:szCs w:val="20"/>
              </w:rPr>
            </w:pPr>
            <w:r>
              <w:rPr>
                <w:rFonts w:cs="Times New Roman"/>
                <w:color w:val="000000"/>
                <w:sz w:val="20"/>
                <w:szCs w:val="20"/>
              </w:rPr>
              <w:t>0.0824912***</w:t>
            </w:r>
          </w:p>
        </w:tc>
        <w:tc>
          <w:tcPr>
            <w:tcW w:w="1136" w:type="pct"/>
            <w:tcBorders>
              <w:top w:val="single" w:color="auto" w:sz="4" w:space="0"/>
              <w:left w:val="nil"/>
              <w:bottom w:val="nil"/>
              <w:right w:val="nil"/>
            </w:tcBorders>
          </w:tcPr>
          <w:p w14:paraId="48943287">
            <w:pPr>
              <w:pStyle w:val="22"/>
              <w:widowControl/>
              <w:autoSpaceDE w:val="0"/>
              <w:spacing w:before="100" w:beforeAutospacing="1"/>
              <w:jc w:val="left"/>
              <w:rPr>
                <w:rFonts w:cs="Times New Roman"/>
                <w:color w:val="000000"/>
                <w:sz w:val="20"/>
                <w:szCs w:val="20"/>
              </w:rPr>
            </w:pPr>
            <w:r>
              <w:rPr>
                <w:rFonts w:cs="Times New Roman"/>
                <w:color w:val="000000"/>
                <w:sz w:val="20"/>
                <w:szCs w:val="20"/>
              </w:rPr>
              <w:t>0.0235294***</w:t>
            </w:r>
          </w:p>
        </w:tc>
        <w:tc>
          <w:tcPr>
            <w:tcW w:w="1109" w:type="pct"/>
            <w:tcBorders>
              <w:top w:val="single" w:color="auto" w:sz="4" w:space="0"/>
              <w:left w:val="nil"/>
              <w:bottom w:val="nil"/>
            </w:tcBorders>
          </w:tcPr>
          <w:p w14:paraId="78633F7A">
            <w:pPr>
              <w:pStyle w:val="22"/>
              <w:widowControl/>
              <w:autoSpaceDE w:val="0"/>
              <w:spacing w:before="100" w:beforeAutospacing="1"/>
              <w:jc w:val="left"/>
              <w:rPr>
                <w:rFonts w:cs="Times New Roman"/>
                <w:color w:val="000000"/>
                <w:sz w:val="20"/>
                <w:szCs w:val="20"/>
              </w:rPr>
            </w:pPr>
            <w:r>
              <w:rPr>
                <w:rFonts w:cs="Times New Roman"/>
                <w:color w:val="000000"/>
                <w:sz w:val="20"/>
                <w:szCs w:val="20"/>
              </w:rPr>
              <w:t>0.0532487***</w:t>
            </w:r>
          </w:p>
        </w:tc>
      </w:tr>
      <w:tr w14:paraId="55F97B54">
        <w:tc>
          <w:tcPr>
            <w:tcW w:w="810" w:type="pct"/>
            <w:tcBorders>
              <w:top w:val="nil"/>
              <w:left w:val="nil"/>
              <w:bottom w:val="nil"/>
              <w:right w:val="nil"/>
            </w:tcBorders>
          </w:tcPr>
          <w:p w14:paraId="67FF1571">
            <w:pPr>
              <w:pStyle w:val="22"/>
              <w:widowControl/>
              <w:autoSpaceDE w:val="0"/>
              <w:spacing w:before="100" w:beforeAutospacing="1"/>
              <w:jc w:val="left"/>
              <w:rPr>
                <w:rFonts w:cs="Times New Roman"/>
                <w:color w:val="000000"/>
                <w:sz w:val="20"/>
                <w:szCs w:val="20"/>
              </w:rPr>
            </w:pPr>
          </w:p>
        </w:tc>
        <w:tc>
          <w:tcPr>
            <w:tcW w:w="956" w:type="pct"/>
            <w:tcBorders>
              <w:top w:val="nil"/>
              <w:left w:val="nil"/>
              <w:bottom w:val="nil"/>
              <w:right w:val="nil"/>
            </w:tcBorders>
          </w:tcPr>
          <w:p w14:paraId="3FE687A3">
            <w:pPr>
              <w:pStyle w:val="22"/>
              <w:widowControl/>
              <w:autoSpaceDE w:val="0"/>
              <w:spacing w:before="100" w:beforeAutospacing="1"/>
              <w:rPr>
                <w:rFonts w:cs="Times New Roman"/>
                <w:color w:val="000000"/>
                <w:sz w:val="20"/>
                <w:szCs w:val="20"/>
              </w:rPr>
            </w:pPr>
            <w:r>
              <w:rPr>
                <w:rFonts w:cs="Times New Roman"/>
                <w:color w:val="000000"/>
                <w:sz w:val="20"/>
                <w:szCs w:val="20"/>
              </w:rPr>
              <w:t>(0.0085899)</w:t>
            </w:r>
          </w:p>
        </w:tc>
        <w:tc>
          <w:tcPr>
            <w:tcW w:w="988" w:type="pct"/>
            <w:tcBorders>
              <w:top w:val="nil"/>
              <w:left w:val="nil"/>
              <w:bottom w:val="nil"/>
              <w:right w:val="nil"/>
            </w:tcBorders>
          </w:tcPr>
          <w:p w14:paraId="09EE4E29">
            <w:pPr>
              <w:pStyle w:val="22"/>
              <w:widowControl/>
              <w:spacing w:before="100" w:beforeAutospacing="1"/>
              <w:rPr>
                <w:rFonts w:cs="Times New Roman"/>
                <w:color w:val="000000"/>
                <w:sz w:val="20"/>
                <w:szCs w:val="20"/>
              </w:rPr>
            </w:pPr>
            <w:r>
              <w:rPr>
                <w:rFonts w:cs="Times New Roman"/>
                <w:color w:val="000000"/>
                <w:sz w:val="20"/>
                <w:szCs w:val="20"/>
              </w:rPr>
              <w:t>(0.0116707)</w:t>
            </w:r>
          </w:p>
        </w:tc>
        <w:tc>
          <w:tcPr>
            <w:tcW w:w="1136" w:type="pct"/>
            <w:tcBorders>
              <w:top w:val="nil"/>
              <w:left w:val="nil"/>
              <w:bottom w:val="nil"/>
              <w:right w:val="nil"/>
            </w:tcBorders>
          </w:tcPr>
          <w:p w14:paraId="16393B7C">
            <w:pPr>
              <w:pStyle w:val="22"/>
              <w:widowControl/>
              <w:autoSpaceDE w:val="0"/>
              <w:spacing w:before="100" w:beforeAutospacing="1"/>
              <w:jc w:val="left"/>
              <w:rPr>
                <w:rFonts w:cs="Times New Roman"/>
                <w:color w:val="000000"/>
                <w:sz w:val="20"/>
                <w:szCs w:val="20"/>
              </w:rPr>
            </w:pPr>
            <w:r>
              <w:rPr>
                <w:rFonts w:cs="Times New Roman"/>
                <w:color w:val="000000"/>
                <w:sz w:val="20"/>
                <w:szCs w:val="20"/>
              </w:rPr>
              <w:t>(0.0043789)</w:t>
            </w:r>
          </w:p>
        </w:tc>
        <w:tc>
          <w:tcPr>
            <w:tcW w:w="1109" w:type="pct"/>
            <w:tcBorders>
              <w:top w:val="nil"/>
              <w:left w:val="nil"/>
              <w:bottom w:val="nil"/>
            </w:tcBorders>
          </w:tcPr>
          <w:p w14:paraId="2CABCD8E">
            <w:pPr>
              <w:pStyle w:val="22"/>
              <w:widowControl/>
              <w:autoSpaceDE w:val="0"/>
              <w:spacing w:before="100" w:beforeAutospacing="1"/>
              <w:jc w:val="left"/>
              <w:rPr>
                <w:rFonts w:cs="Times New Roman"/>
                <w:color w:val="000000"/>
                <w:sz w:val="20"/>
                <w:szCs w:val="20"/>
              </w:rPr>
            </w:pPr>
            <w:r>
              <w:rPr>
                <w:rFonts w:cs="Times New Roman"/>
                <w:color w:val="000000"/>
                <w:sz w:val="20"/>
                <w:szCs w:val="20"/>
              </w:rPr>
              <w:t>(0.0123596)</w:t>
            </w:r>
          </w:p>
        </w:tc>
      </w:tr>
      <w:tr w14:paraId="6EA92CCA">
        <w:tc>
          <w:tcPr>
            <w:tcW w:w="810" w:type="pct"/>
            <w:tcBorders>
              <w:top w:val="nil"/>
              <w:left w:val="nil"/>
              <w:bottom w:val="nil"/>
              <w:right w:val="nil"/>
            </w:tcBorders>
          </w:tcPr>
          <w:p w14:paraId="5EFD2EF0">
            <w:pPr>
              <w:pStyle w:val="22"/>
              <w:widowControl/>
              <w:autoSpaceDE w:val="0"/>
              <w:spacing w:before="100" w:beforeAutospacing="1"/>
              <w:jc w:val="left"/>
              <w:rPr>
                <w:rFonts w:cs="Times New Roman"/>
                <w:b/>
                <w:color w:val="000000"/>
                <w:sz w:val="20"/>
                <w:szCs w:val="20"/>
              </w:rPr>
            </w:pPr>
            <w:r>
              <w:rPr>
                <w:rFonts w:cs="Times New Roman"/>
                <w:b/>
                <w:bCs w:val="0"/>
                <w:color w:val="000000"/>
                <w:sz w:val="20"/>
                <w:szCs w:val="20"/>
              </w:rPr>
              <w:t>GCF</w:t>
            </w:r>
          </w:p>
        </w:tc>
        <w:tc>
          <w:tcPr>
            <w:tcW w:w="956" w:type="pct"/>
            <w:tcBorders>
              <w:top w:val="nil"/>
              <w:left w:val="nil"/>
              <w:bottom w:val="nil"/>
              <w:right w:val="nil"/>
            </w:tcBorders>
          </w:tcPr>
          <w:p w14:paraId="31FE9CD5">
            <w:pPr>
              <w:pStyle w:val="22"/>
              <w:widowControl/>
              <w:autoSpaceDE w:val="0"/>
              <w:spacing w:before="100" w:beforeAutospacing="1"/>
              <w:rPr>
                <w:rFonts w:cs="Times New Roman"/>
                <w:color w:val="000000"/>
                <w:sz w:val="20"/>
                <w:szCs w:val="20"/>
              </w:rPr>
            </w:pPr>
            <w:r>
              <w:rPr>
                <w:rFonts w:cs="Times New Roman"/>
                <w:color w:val="000000"/>
                <w:sz w:val="20"/>
                <w:szCs w:val="20"/>
              </w:rPr>
              <w:t>0.1266335</w:t>
            </w:r>
          </w:p>
        </w:tc>
        <w:tc>
          <w:tcPr>
            <w:tcW w:w="988" w:type="pct"/>
            <w:tcBorders>
              <w:top w:val="nil"/>
              <w:left w:val="nil"/>
              <w:bottom w:val="nil"/>
              <w:right w:val="nil"/>
            </w:tcBorders>
          </w:tcPr>
          <w:p w14:paraId="0FD36396">
            <w:pPr>
              <w:pStyle w:val="22"/>
              <w:widowControl/>
              <w:spacing w:before="100" w:beforeAutospacing="1"/>
              <w:rPr>
                <w:rFonts w:cs="Times New Roman"/>
                <w:color w:val="000000"/>
                <w:sz w:val="20"/>
                <w:szCs w:val="20"/>
              </w:rPr>
            </w:pPr>
            <w:r>
              <w:rPr>
                <w:rFonts w:cs="Times New Roman"/>
                <w:color w:val="000000"/>
                <w:sz w:val="20"/>
                <w:szCs w:val="20"/>
              </w:rPr>
              <w:t>-0.042379</w:t>
            </w:r>
          </w:p>
        </w:tc>
        <w:tc>
          <w:tcPr>
            <w:tcW w:w="1136" w:type="pct"/>
            <w:tcBorders>
              <w:top w:val="nil"/>
              <w:left w:val="nil"/>
              <w:bottom w:val="nil"/>
              <w:right w:val="nil"/>
            </w:tcBorders>
          </w:tcPr>
          <w:p w14:paraId="3BA01A8E">
            <w:pPr>
              <w:pStyle w:val="22"/>
              <w:widowControl/>
              <w:autoSpaceDE w:val="0"/>
              <w:spacing w:before="100" w:beforeAutospacing="1"/>
              <w:jc w:val="left"/>
              <w:rPr>
                <w:rFonts w:cs="Times New Roman"/>
                <w:color w:val="000000"/>
                <w:sz w:val="20"/>
                <w:szCs w:val="20"/>
              </w:rPr>
            </w:pPr>
            <w:r>
              <w:rPr>
                <w:rFonts w:cs="Times New Roman"/>
                <w:color w:val="000000"/>
                <w:sz w:val="20"/>
                <w:szCs w:val="20"/>
              </w:rPr>
              <w:t>0.0586386**</w:t>
            </w:r>
          </w:p>
        </w:tc>
        <w:tc>
          <w:tcPr>
            <w:tcW w:w="1109" w:type="pct"/>
            <w:tcBorders>
              <w:top w:val="nil"/>
              <w:left w:val="nil"/>
              <w:bottom w:val="nil"/>
            </w:tcBorders>
          </w:tcPr>
          <w:p w14:paraId="082781BF">
            <w:pPr>
              <w:pStyle w:val="22"/>
              <w:widowControl/>
              <w:autoSpaceDE w:val="0"/>
              <w:spacing w:before="100" w:beforeAutospacing="1"/>
              <w:jc w:val="left"/>
              <w:rPr>
                <w:rFonts w:cs="Times New Roman"/>
                <w:color w:val="000000"/>
                <w:sz w:val="20"/>
                <w:szCs w:val="20"/>
              </w:rPr>
            </w:pPr>
            <w:r>
              <w:rPr>
                <w:rFonts w:cs="Times New Roman"/>
                <w:color w:val="000000"/>
                <w:sz w:val="20"/>
                <w:szCs w:val="20"/>
              </w:rPr>
              <w:t>-0.0259341</w:t>
            </w:r>
          </w:p>
        </w:tc>
      </w:tr>
      <w:tr w14:paraId="2CF0EFD4">
        <w:tc>
          <w:tcPr>
            <w:tcW w:w="810" w:type="pct"/>
            <w:tcBorders>
              <w:top w:val="nil"/>
              <w:left w:val="nil"/>
              <w:bottom w:val="nil"/>
              <w:right w:val="nil"/>
            </w:tcBorders>
          </w:tcPr>
          <w:p w14:paraId="6B282842">
            <w:pPr>
              <w:pStyle w:val="22"/>
              <w:widowControl/>
              <w:autoSpaceDE w:val="0"/>
              <w:spacing w:before="100" w:beforeAutospacing="1"/>
              <w:jc w:val="left"/>
              <w:rPr>
                <w:rFonts w:cs="Times New Roman"/>
                <w:color w:val="000000"/>
                <w:sz w:val="20"/>
                <w:szCs w:val="20"/>
              </w:rPr>
            </w:pPr>
          </w:p>
        </w:tc>
        <w:tc>
          <w:tcPr>
            <w:tcW w:w="956" w:type="pct"/>
            <w:tcBorders>
              <w:top w:val="nil"/>
              <w:left w:val="nil"/>
              <w:bottom w:val="nil"/>
              <w:right w:val="nil"/>
            </w:tcBorders>
          </w:tcPr>
          <w:p w14:paraId="7E9D54F3">
            <w:pPr>
              <w:pStyle w:val="22"/>
              <w:widowControl/>
              <w:autoSpaceDE w:val="0"/>
              <w:spacing w:before="100" w:beforeAutospacing="1"/>
              <w:rPr>
                <w:rFonts w:cs="Times New Roman"/>
                <w:color w:val="000000"/>
                <w:sz w:val="20"/>
                <w:szCs w:val="20"/>
              </w:rPr>
            </w:pPr>
            <w:r>
              <w:rPr>
                <w:rFonts w:cs="Times New Roman"/>
                <w:color w:val="000000"/>
                <w:sz w:val="20"/>
                <w:szCs w:val="20"/>
              </w:rPr>
              <w:t>(0.0771267)</w:t>
            </w:r>
          </w:p>
        </w:tc>
        <w:tc>
          <w:tcPr>
            <w:tcW w:w="988" w:type="pct"/>
            <w:tcBorders>
              <w:top w:val="nil"/>
              <w:left w:val="nil"/>
              <w:bottom w:val="nil"/>
              <w:right w:val="nil"/>
            </w:tcBorders>
          </w:tcPr>
          <w:p w14:paraId="74D0DA8C">
            <w:pPr>
              <w:pStyle w:val="22"/>
              <w:widowControl/>
              <w:spacing w:before="100" w:beforeAutospacing="1"/>
              <w:rPr>
                <w:rFonts w:cs="Times New Roman"/>
                <w:color w:val="000000"/>
                <w:sz w:val="20"/>
                <w:szCs w:val="20"/>
              </w:rPr>
            </w:pPr>
            <w:r>
              <w:rPr>
                <w:rFonts w:cs="Times New Roman"/>
                <w:color w:val="000000"/>
                <w:sz w:val="20"/>
                <w:szCs w:val="20"/>
              </w:rPr>
              <w:t>(0.0861501)</w:t>
            </w:r>
          </w:p>
        </w:tc>
        <w:tc>
          <w:tcPr>
            <w:tcW w:w="1136" w:type="pct"/>
            <w:tcBorders>
              <w:top w:val="nil"/>
              <w:left w:val="nil"/>
              <w:bottom w:val="nil"/>
              <w:right w:val="nil"/>
            </w:tcBorders>
          </w:tcPr>
          <w:p w14:paraId="0B5D18D6">
            <w:pPr>
              <w:pStyle w:val="22"/>
              <w:widowControl/>
              <w:autoSpaceDE w:val="0"/>
              <w:spacing w:before="100" w:beforeAutospacing="1"/>
              <w:jc w:val="left"/>
              <w:rPr>
                <w:rFonts w:cs="Times New Roman"/>
                <w:color w:val="000000"/>
                <w:sz w:val="20"/>
                <w:szCs w:val="20"/>
              </w:rPr>
            </w:pPr>
            <w:r>
              <w:rPr>
                <w:rFonts w:cs="Times New Roman"/>
                <w:color w:val="000000"/>
                <w:sz w:val="20"/>
                <w:szCs w:val="20"/>
              </w:rPr>
              <w:t>(0.0240937)</w:t>
            </w:r>
          </w:p>
        </w:tc>
        <w:tc>
          <w:tcPr>
            <w:tcW w:w="1109" w:type="pct"/>
            <w:tcBorders>
              <w:top w:val="nil"/>
              <w:left w:val="nil"/>
              <w:bottom w:val="nil"/>
            </w:tcBorders>
          </w:tcPr>
          <w:p w14:paraId="0D8E737B">
            <w:pPr>
              <w:pStyle w:val="22"/>
              <w:widowControl/>
              <w:autoSpaceDE w:val="0"/>
              <w:spacing w:before="100" w:beforeAutospacing="1"/>
              <w:jc w:val="left"/>
              <w:rPr>
                <w:rFonts w:cs="Times New Roman"/>
                <w:color w:val="000000"/>
                <w:sz w:val="20"/>
                <w:szCs w:val="20"/>
              </w:rPr>
            </w:pPr>
            <w:r>
              <w:rPr>
                <w:rFonts w:cs="Times New Roman"/>
                <w:color w:val="000000"/>
                <w:sz w:val="20"/>
                <w:szCs w:val="20"/>
              </w:rPr>
              <w:t>(0.0507477)</w:t>
            </w:r>
          </w:p>
        </w:tc>
      </w:tr>
      <w:tr w14:paraId="654EEAFF">
        <w:tc>
          <w:tcPr>
            <w:tcW w:w="810" w:type="pct"/>
            <w:tcBorders>
              <w:top w:val="nil"/>
              <w:left w:val="nil"/>
              <w:bottom w:val="nil"/>
              <w:right w:val="nil"/>
            </w:tcBorders>
          </w:tcPr>
          <w:p w14:paraId="322D700F">
            <w:pPr>
              <w:pStyle w:val="22"/>
              <w:widowControl/>
              <w:autoSpaceDE w:val="0"/>
              <w:spacing w:before="100" w:beforeAutospacing="1"/>
              <w:jc w:val="left"/>
              <w:rPr>
                <w:rFonts w:cs="Times New Roman"/>
                <w:color w:val="000000"/>
                <w:sz w:val="20"/>
                <w:szCs w:val="20"/>
              </w:rPr>
            </w:pPr>
            <w:r>
              <w:rPr>
                <w:rFonts w:cs="Times New Roman"/>
                <w:color w:val="000000"/>
                <w:sz w:val="20"/>
                <w:szCs w:val="20"/>
              </w:rPr>
              <w:t>TRADE</w:t>
            </w:r>
          </w:p>
        </w:tc>
        <w:tc>
          <w:tcPr>
            <w:tcW w:w="956" w:type="pct"/>
            <w:tcBorders>
              <w:top w:val="nil"/>
              <w:left w:val="nil"/>
              <w:bottom w:val="nil"/>
              <w:right w:val="nil"/>
            </w:tcBorders>
          </w:tcPr>
          <w:p w14:paraId="1430B356">
            <w:pPr>
              <w:pStyle w:val="22"/>
              <w:widowControl/>
              <w:autoSpaceDE w:val="0"/>
              <w:spacing w:before="100" w:beforeAutospacing="1"/>
              <w:rPr>
                <w:rFonts w:cs="Times New Roman"/>
                <w:color w:val="000000"/>
                <w:sz w:val="20"/>
                <w:szCs w:val="20"/>
              </w:rPr>
            </w:pPr>
            <w:r>
              <w:rPr>
                <w:rFonts w:cs="Times New Roman"/>
                <w:color w:val="000000"/>
                <w:sz w:val="20"/>
                <w:szCs w:val="20"/>
              </w:rPr>
              <w:t>-0.0059811</w:t>
            </w:r>
          </w:p>
        </w:tc>
        <w:tc>
          <w:tcPr>
            <w:tcW w:w="988" w:type="pct"/>
            <w:tcBorders>
              <w:top w:val="nil"/>
              <w:left w:val="nil"/>
              <w:bottom w:val="nil"/>
              <w:right w:val="nil"/>
            </w:tcBorders>
          </w:tcPr>
          <w:p w14:paraId="2B5CB373">
            <w:pPr>
              <w:pStyle w:val="22"/>
              <w:widowControl/>
              <w:spacing w:before="100" w:beforeAutospacing="1"/>
              <w:rPr>
                <w:rFonts w:cs="Times New Roman"/>
                <w:color w:val="000000"/>
                <w:sz w:val="20"/>
                <w:szCs w:val="20"/>
              </w:rPr>
            </w:pPr>
            <w:r>
              <w:rPr>
                <w:rFonts w:cs="Times New Roman"/>
                <w:color w:val="000000"/>
                <w:sz w:val="20"/>
                <w:szCs w:val="20"/>
              </w:rPr>
              <w:t>-0.034744**</w:t>
            </w:r>
          </w:p>
        </w:tc>
        <w:tc>
          <w:tcPr>
            <w:tcW w:w="1136" w:type="pct"/>
            <w:tcBorders>
              <w:top w:val="nil"/>
              <w:left w:val="nil"/>
              <w:bottom w:val="nil"/>
              <w:right w:val="nil"/>
            </w:tcBorders>
          </w:tcPr>
          <w:p w14:paraId="1E5D0803">
            <w:pPr>
              <w:pStyle w:val="22"/>
              <w:widowControl/>
              <w:autoSpaceDE w:val="0"/>
              <w:spacing w:before="100" w:beforeAutospacing="1"/>
              <w:jc w:val="left"/>
              <w:rPr>
                <w:rFonts w:cs="Times New Roman"/>
                <w:color w:val="000000"/>
                <w:sz w:val="20"/>
                <w:szCs w:val="20"/>
              </w:rPr>
            </w:pPr>
            <w:r>
              <w:rPr>
                <w:rFonts w:cs="Times New Roman"/>
                <w:color w:val="000000"/>
                <w:sz w:val="20"/>
                <w:szCs w:val="20"/>
              </w:rPr>
              <w:t>-0.0027624</w:t>
            </w:r>
          </w:p>
        </w:tc>
        <w:tc>
          <w:tcPr>
            <w:tcW w:w="1109" w:type="pct"/>
            <w:tcBorders>
              <w:top w:val="nil"/>
              <w:left w:val="nil"/>
              <w:bottom w:val="nil"/>
            </w:tcBorders>
          </w:tcPr>
          <w:p w14:paraId="72092EA2">
            <w:pPr>
              <w:pStyle w:val="22"/>
              <w:widowControl/>
              <w:autoSpaceDE w:val="0"/>
              <w:spacing w:before="100" w:beforeAutospacing="1"/>
              <w:jc w:val="left"/>
              <w:rPr>
                <w:rFonts w:cs="Times New Roman"/>
                <w:color w:val="000000"/>
                <w:sz w:val="20"/>
                <w:szCs w:val="20"/>
              </w:rPr>
            </w:pPr>
            <w:r>
              <w:rPr>
                <w:rFonts w:cs="Times New Roman"/>
                <w:color w:val="000000"/>
                <w:sz w:val="20"/>
                <w:szCs w:val="20"/>
              </w:rPr>
              <w:t>-0.0308848***</w:t>
            </w:r>
          </w:p>
        </w:tc>
      </w:tr>
      <w:tr w14:paraId="6E28A347">
        <w:tc>
          <w:tcPr>
            <w:tcW w:w="810" w:type="pct"/>
            <w:tcBorders>
              <w:top w:val="nil"/>
              <w:left w:val="nil"/>
              <w:bottom w:val="nil"/>
              <w:right w:val="nil"/>
            </w:tcBorders>
          </w:tcPr>
          <w:p w14:paraId="1F9A12ED">
            <w:pPr>
              <w:pStyle w:val="22"/>
              <w:widowControl/>
              <w:autoSpaceDE w:val="0"/>
              <w:spacing w:before="100" w:beforeAutospacing="1"/>
              <w:jc w:val="left"/>
              <w:rPr>
                <w:rFonts w:cs="Times New Roman"/>
                <w:color w:val="000000"/>
                <w:sz w:val="20"/>
                <w:szCs w:val="20"/>
              </w:rPr>
            </w:pPr>
          </w:p>
        </w:tc>
        <w:tc>
          <w:tcPr>
            <w:tcW w:w="956" w:type="pct"/>
            <w:tcBorders>
              <w:top w:val="nil"/>
              <w:left w:val="nil"/>
              <w:bottom w:val="nil"/>
              <w:right w:val="nil"/>
            </w:tcBorders>
          </w:tcPr>
          <w:p w14:paraId="74D4E337">
            <w:pPr>
              <w:pStyle w:val="22"/>
              <w:widowControl/>
              <w:autoSpaceDE w:val="0"/>
              <w:spacing w:before="100" w:beforeAutospacing="1"/>
              <w:rPr>
                <w:rFonts w:cs="Times New Roman"/>
                <w:color w:val="000000"/>
                <w:sz w:val="20"/>
                <w:szCs w:val="20"/>
              </w:rPr>
            </w:pPr>
            <w:r>
              <w:rPr>
                <w:rFonts w:cs="Times New Roman"/>
                <w:color w:val="000000"/>
                <w:sz w:val="20"/>
                <w:szCs w:val="20"/>
              </w:rPr>
              <w:t>(0.0099181)</w:t>
            </w:r>
          </w:p>
        </w:tc>
        <w:tc>
          <w:tcPr>
            <w:tcW w:w="988" w:type="pct"/>
            <w:tcBorders>
              <w:top w:val="nil"/>
              <w:left w:val="nil"/>
              <w:bottom w:val="nil"/>
              <w:right w:val="nil"/>
            </w:tcBorders>
          </w:tcPr>
          <w:p w14:paraId="261D9C02">
            <w:pPr>
              <w:pStyle w:val="22"/>
              <w:widowControl/>
              <w:spacing w:before="100" w:beforeAutospacing="1"/>
              <w:rPr>
                <w:rFonts w:cs="Times New Roman"/>
                <w:color w:val="000000"/>
                <w:sz w:val="20"/>
                <w:szCs w:val="20"/>
              </w:rPr>
            </w:pPr>
            <w:r>
              <w:rPr>
                <w:rFonts w:cs="Times New Roman"/>
                <w:color w:val="000000"/>
                <w:sz w:val="20"/>
                <w:szCs w:val="20"/>
              </w:rPr>
              <w:t>(0.0153383)</w:t>
            </w:r>
          </w:p>
        </w:tc>
        <w:tc>
          <w:tcPr>
            <w:tcW w:w="1136" w:type="pct"/>
            <w:tcBorders>
              <w:top w:val="nil"/>
              <w:left w:val="nil"/>
              <w:bottom w:val="nil"/>
              <w:right w:val="nil"/>
            </w:tcBorders>
          </w:tcPr>
          <w:p w14:paraId="58F6C946">
            <w:pPr>
              <w:pStyle w:val="22"/>
              <w:widowControl/>
              <w:autoSpaceDE w:val="0"/>
              <w:spacing w:before="100" w:beforeAutospacing="1"/>
              <w:jc w:val="left"/>
              <w:rPr>
                <w:rFonts w:cs="Times New Roman"/>
                <w:color w:val="000000"/>
                <w:sz w:val="20"/>
                <w:szCs w:val="20"/>
              </w:rPr>
            </w:pPr>
            <w:r>
              <w:rPr>
                <w:rFonts w:cs="Times New Roman"/>
                <w:color w:val="000000"/>
                <w:sz w:val="20"/>
                <w:szCs w:val="20"/>
              </w:rPr>
              <w:t>(0.0040934)</w:t>
            </w:r>
          </w:p>
        </w:tc>
        <w:tc>
          <w:tcPr>
            <w:tcW w:w="1109" w:type="pct"/>
            <w:tcBorders>
              <w:top w:val="nil"/>
              <w:left w:val="nil"/>
              <w:bottom w:val="nil"/>
            </w:tcBorders>
          </w:tcPr>
          <w:p w14:paraId="0E946663">
            <w:pPr>
              <w:pStyle w:val="22"/>
              <w:widowControl/>
              <w:autoSpaceDE w:val="0"/>
              <w:spacing w:before="100" w:beforeAutospacing="1"/>
              <w:jc w:val="left"/>
              <w:rPr>
                <w:rFonts w:cs="Times New Roman"/>
                <w:color w:val="000000"/>
                <w:sz w:val="20"/>
                <w:szCs w:val="20"/>
              </w:rPr>
            </w:pPr>
            <w:r>
              <w:rPr>
                <w:rFonts w:cs="Times New Roman"/>
                <w:color w:val="000000"/>
                <w:sz w:val="20"/>
                <w:szCs w:val="20"/>
              </w:rPr>
              <w:t>(0.0067313)</w:t>
            </w:r>
          </w:p>
        </w:tc>
      </w:tr>
      <w:tr w14:paraId="19593AB0">
        <w:trPr>
          <w:trHeight w:val="90" w:hRule="atLeast"/>
        </w:trPr>
        <w:tc>
          <w:tcPr>
            <w:tcW w:w="810" w:type="pct"/>
            <w:tcBorders>
              <w:top w:val="nil"/>
              <w:left w:val="nil"/>
              <w:bottom w:val="nil"/>
              <w:right w:val="nil"/>
            </w:tcBorders>
          </w:tcPr>
          <w:p w14:paraId="280CC74A">
            <w:pPr>
              <w:pStyle w:val="22"/>
              <w:widowControl/>
              <w:autoSpaceDE w:val="0"/>
              <w:spacing w:before="100" w:beforeAutospacing="1"/>
              <w:jc w:val="left"/>
              <w:rPr>
                <w:rFonts w:cs="Times New Roman"/>
                <w:color w:val="000000"/>
                <w:sz w:val="20"/>
                <w:szCs w:val="20"/>
              </w:rPr>
            </w:pPr>
            <w:r>
              <w:rPr>
                <w:rFonts w:cs="Times New Roman"/>
                <w:color w:val="000000"/>
                <w:sz w:val="20"/>
                <w:szCs w:val="20"/>
              </w:rPr>
              <w:t>POP</w:t>
            </w:r>
          </w:p>
        </w:tc>
        <w:tc>
          <w:tcPr>
            <w:tcW w:w="956" w:type="pct"/>
            <w:tcBorders>
              <w:top w:val="nil"/>
              <w:left w:val="nil"/>
              <w:bottom w:val="nil"/>
              <w:right w:val="nil"/>
            </w:tcBorders>
          </w:tcPr>
          <w:p w14:paraId="0D463C53">
            <w:pPr>
              <w:pStyle w:val="22"/>
              <w:widowControl/>
              <w:autoSpaceDE w:val="0"/>
              <w:spacing w:before="100" w:beforeAutospacing="1"/>
              <w:rPr>
                <w:rFonts w:cs="Times New Roman"/>
                <w:color w:val="000000"/>
                <w:sz w:val="20"/>
                <w:szCs w:val="20"/>
              </w:rPr>
            </w:pPr>
            <w:r>
              <w:rPr>
                <w:rFonts w:cs="Times New Roman"/>
                <w:color w:val="000000"/>
                <w:sz w:val="20"/>
                <w:szCs w:val="20"/>
              </w:rPr>
              <w:t>0.854383</w:t>
            </w:r>
          </w:p>
        </w:tc>
        <w:tc>
          <w:tcPr>
            <w:tcW w:w="988" w:type="pct"/>
            <w:tcBorders>
              <w:top w:val="nil"/>
              <w:left w:val="nil"/>
              <w:bottom w:val="nil"/>
              <w:right w:val="nil"/>
            </w:tcBorders>
          </w:tcPr>
          <w:p w14:paraId="5A84F8D8">
            <w:pPr>
              <w:pStyle w:val="22"/>
              <w:widowControl/>
              <w:spacing w:before="100" w:beforeAutospacing="1"/>
              <w:rPr>
                <w:rFonts w:cs="Times New Roman"/>
                <w:color w:val="000000"/>
                <w:sz w:val="20"/>
                <w:szCs w:val="20"/>
              </w:rPr>
            </w:pPr>
            <w:r>
              <w:rPr>
                <w:rFonts w:cs="Times New Roman"/>
                <w:color w:val="000000"/>
                <w:sz w:val="20"/>
                <w:szCs w:val="20"/>
              </w:rPr>
              <w:t>3.706288***</w:t>
            </w:r>
          </w:p>
        </w:tc>
        <w:tc>
          <w:tcPr>
            <w:tcW w:w="1136" w:type="pct"/>
            <w:tcBorders>
              <w:top w:val="nil"/>
              <w:left w:val="nil"/>
              <w:bottom w:val="nil"/>
              <w:right w:val="nil"/>
            </w:tcBorders>
          </w:tcPr>
          <w:p w14:paraId="3A4B5541">
            <w:pPr>
              <w:pStyle w:val="22"/>
              <w:widowControl/>
              <w:autoSpaceDE w:val="0"/>
              <w:spacing w:before="100" w:beforeAutospacing="1"/>
              <w:jc w:val="left"/>
              <w:rPr>
                <w:rFonts w:cs="Times New Roman"/>
                <w:color w:val="000000"/>
                <w:sz w:val="20"/>
                <w:szCs w:val="20"/>
              </w:rPr>
            </w:pPr>
            <w:r>
              <w:rPr>
                <w:rFonts w:cs="Times New Roman"/>
                <w:color w:val="000000"/>
                <w:sz w:val="20"/>
                <w:szCs w:val="20"/>
              </w:rPr>
              <w:t>0.5211769</w:t>
            </w:r>
          </w:p>
        </w:tc>
        <w:tc>
          <w:tcPr>
            <w:tcW w:w="1109" w:type="pct"/>
            <w:tcBorders>
              <w:top w:val="nil"/>
              <w:left w:val="nil"/>
              <w:bottom w:val="nil"/>
            </w:tcBorders>
          </w:tcPr>
          <w:p w14:paraId="77126FD5">
            <w:pPr>
              <w:pStyle w:val="22"/>
              <w:widowControl/>
              <w:autoSpaceDE w:val="0"/>
              <w:spacing w:before="100" w:beforeAutospacing="1"/>
              <w:jc w:val="left"/>
              <w:rPr>
                <w:rFonts w:cs="Times New Roman"/>
                <w:color w:val="000000"/>
                <w:sz w:val="20"/>
                <w:szCs w:val="20"/>
              </w:rPr>
            </w:pPr>
            <w:r>
              <w:rPr>
                <w:rFonts w:cs="Times New Roman"/>
                <w:color w:val="000000"/>
                <w:sz w:val="20"/>
                <w:szCs w:val="20"/>
              </w:rPr>
              <w:t>0.1675759</w:t>
            </w:r>
          </w:p>
        </w:tc>
      </w:tr>
      <w:tr w14:paraId="2FFB6FBF">
        <w:tc>
          <w:tcPr>
            <w:tcW w:w="810" w:type="pct"/>
            <w:tcBorders>
              <w:top w:val="nil"/>
              <w:left w:val="nil"/>
              <w:bottom w:val="nil"/>
              <w:right w:val="nil"/>
            </w:tcBorders>
          </w:tcPr>
          <w:p w14:paraId="0F2D329B">
            <w:pPr>
              <w:pStyle w:val="22"/>
              <w:widowControl/>
              <w:autoSpaceDE w:val="0"/>
              <w:spacing w:before="100" w:beforeAutospacing="1"/>
              <w:jc w:val="left"/>
              <w:rPr>
                <w:rFonts w:cs="Times New Roman"/>
                <w:color w:val="000000"/>
                <w:sz w:val="20"/>
                <w:szCs w:val="20"/>
              </w:rPr>
            </w:pPr>
          </w:p>
        </w:tc>
        <w:tc>
          <w:tcPr>
            <w:tcW w:w="956" w:type="pct"/>
            <w:tcBorders>
              <w:top w:val="nil"/>
              <w:left w:val="nil"/>
              <w:bottom w:val="nil"/>
              <w:right w:val="nil"/>
            </w:tcBorders>
          </w:tcPr>
          <w:p w14:paraId="53FB0E6B">
            <w:pPr>
              <w:pStyle w:val="22"/>
              <w:widowControl/>
              <w:autoSpaceDE w:val="0"/>
              <w:spacing w:before="100" w:beforeAutospacing="1"/>
              <w:rPr>
                <w:rFonts w:cs="Times New Roman"/>
                <w:color w:val="000000"/>
                <w:sz w:val="20"/>
                <w:szCs w:val="20"/>
              </w:rPr>
            </w:pPr>
            <w:r>
              <w:rPr>
                <w:rFonts w:cs="Times New Roman"/>
                <w:color w:val="000000"/>
                <w:sz w:val="20"/>
                <w:szCs w:val="20"/>
              </w:rPr>
              <w:t>(0.7657864)</w:t>
            </w:r>
          </w:p>
        </w:tc>
        <w:tc>
          <w:tcPr>
            <w:tcW w:w="988" w:type="pct"/>
            <w:tcBorders>
              <w:top w:val="nil"/>
              <w:left w:val="nil"/>
              <w:bottom w:val="nil"/>
              <w:right w:val="nil"/>
            </w:tcBorders>
          </w:tcPr>
          <w:p w14:paraId="6164FBDB">
            <w:pPr>
              <w:pStyle w:val="22"/>
              <w:widowControl/>
              <w:spacing w:before="100" w:beforeAutospacing="1"/>
              <w:rPr>
                <w:rFonts w:cs="Times New Roman"/>
                <w:color w:val="000000"/>
                <w:sz w:val="20"/>
                <w:szCs w:val="20"/>
              </w:rPr>
            </w:pPr>
            <w:r>
              <w:rPr>
                <w:rFonts w:cs="Times New Roman"/>
                <w:color w:val="000000"/>
                <w:sz w:val="20"/>
                <w:szCs w:val="20"/>
              </w:rPr>
              <w:t>(1.044126)</w:t>
            </w:r>
          </w:p>
        </w:tc>
        <w:tc>
          <w:tcPr>
            <w:tcW w:w="1136" w:type="pct"/>
            <w:tcBorders>
              <w:top w:val="nil"/>
              <w:left w:val="nil"/>
              <w:bottom w:val="nil"/>
              <w:right w:val="nil"/>
            </w:tcBorders>
          </w:tcPr>
          <w:p w14:paraId="7A1EEA5B">
            <w:pPr>
              <w:pStyle w:val="22"/>
              <w:widowControl/>
              <w:autoSpaceDE w:val="0"/>
              <w:spacing w:before="100" w:beforeAutospacing="1"/>
              <w:jc w:val="left"/>
              <w:rPr>
                <w:rFonts w:cs="Times New Roman"/>
                <w:color w:val="000000"/>
                <w:sz w:val="20"/>
                <w:szCs w:val="20"/>
              </w:rPr>
            </w:pPr>
            <w:r>
              <w:rPr>
                <w:rFonts w:cs="Times New Roman"/>
                <w:color w:val="000000"/>
                <w:sz w:val="20"/>
                <w:szCs w:val="20"/>
              </w:rPr>
              <w:t>(0.3358057)</w:t>
            </w:r>
          </w:p>
        </w:tc>
        <w:tc>
          <w:tcPr>
            <w:tcW w:w="1109" w:type="pct"/>
            <w:tcBorders>
              <w:top w:val="nil"/>
              <w:left w:val="nil"/>
              <w:bottom w:val="nil"/>
            </w:tcBorders>
          </w:tcPr>
          <w:p w14:paraId="0F11912F">
            <w:pPr>
              <w:pStyle w:val="22"/>
              <w:widowControl/>
              <w:autoSpaceDE w:val="0"/>
              <w:spacing w:before="100" w:beforeAutospacing="1"/>
              <w:jc w:val="left"/>
              <w:rPr>
                <w:rFonts w:cs="Times New Roman"/>
                <w:color w:val="000000"/>
                <w:sz w:val="20"/>
                <w:szCs w:val="20"/>
              </w:rPr>
            </w:pPr>
            <w:r>
              <w:rPr>
                <w:rFonts w:cs="Times New Roman"/>
                <w:color w:val="000000"/>
                <w:sz w:val="20"/>
                <w:szCs w:val="20"/>
              </w:rPr>
              <w:t>(0.6915393)</w:t>
            </w:r>
          </w:p>
        </w:tc>
      </w:tr>
      <w:tr w14:paraId="4B8E21AA">
        <w:tc>
          <w:tcPr>
            <w:tcW w:w="810" w:type="pct"/>
            <w:tcBorders>
              <w:top w:val="nil"/>
              <w:left w:val="nil"/>
              <w:bottom w:val="nil"/>
              <w:right w:val="nil"/>
            </w:tcBorders>
          </w:tcPr>
          <w:p w14:paraId="5BFACAA7">
            <w:pPr>
              <w:pStyle w:val="22"/>
              <w:widowControl/>
              <w:autoSpaceDE w:val="0"/>
              <w:spacing w:before="100" w:beforeAutospacing="1"/>
              <w:jc w:val="left"/>
              <w:rPr>
                <w:rFonts w:cs="Times New Roman"/>
                <w:color w:val="000000"/>
                <w:sz w:val="20"/>
                <w:szCs w:val="20"/>
              </w:rPr>
            </w:pPr>
            <w:r>
              <w:rPr>
                <w:rFonts w:cs="Times New Roman"/>
                <w:color w:val="000000"/>
                <w:sz w:val="20"/>
                <w:szCs w:val="20"/>
              </w:rPr>
              <w:t>UP</w:t>
            </w:r>
          </w:p>
        </w:tc>
        <w:tc>
          <w:tcPr>
            <w:tcW w:w="956" w:type="pct"/>
            <w:tcBorders>
              <w:top w:val="nil"/>
              <w:left w:val="nil"/>
              <w:bottom w:val="nil"/>
              <w:right w:val="nil"/>
            </w:tcBorders>
          </w:tcPr>
          <w:p w14:paraId="3F3D4175">
            <w:pPr>
              <w:pStyle w:val="22"/>
              <w:widowControl/>
              <w:autoSpaceDE w:val="0"/>
              <w:spacing w:before="100" w:beforeAutospacing="1"/>
              <w:rPr>
                <w:rFonts w:cs="Times New Roman"/>
                <w:color w:val="000000"/>
                <w:sz w:val="20"/>
                <w:szCs w:val="20"/>
              </w:rPr>
            </w:pPr>
            <w:r>
              <w:rPr>
                <w:rFonts w:cs="Times New Roman"/>
                <w:color w:val="000000"/>
                <w:sz w:val="20"/>
                <w:szCs w:val="20"/>
              </w:rPr>
              <w:t>-2.038985***</w:t>
            </w:r>
          </w:p>
        </w:tc>
        <w:tc>
          <w:tcPr>
            <w:tcW w:w="988" w:type="pct"/>
            <w:tcBorders>
              <w:top w:val="nil"/>
              <w:left w:val="nil"/>
              <w:bottom w:val="nil"/>
              <w:right w:val="nil"/>
            </w:tcBorders>
          </w:tcPr>
          <w:p w14:paraId="2C0508B6">
            <w:pPr>
              <w:pStyle w:val="22"/>
              <w:widowControl/>
              <w:spacing w:before="100" w:beforeAutospacing="1"/>
              <w:rPr>
                <w:rFonts w:cs="Times New Roman"/>
                <w:color w:val="000000"/>
                <w:sz w:val="20"/>
                <w:szCs w:val="20"/>
              </w:rPr>
            </w:pPr>
            <w:r>
              <w:rPr>
                <w:rFonts w:cs="Times New Roman"/>
                <w:color w:val="000000"/>
                <w:sz w:val="20"/>
                <w:szCs w:val="20"/>
              </w:rPr>
              <w:t>-3.002394***</w:t>
            </w:r>
          </w:p>
        </w:tc>
        <w:tc>
          <w:tcPr>
            <w:tcW w:w="1136" w:type="pct"/>
            <w:tcBorders>
              <w:top w:val="nil"/>
              <w:left w:val="nil"/>
              <w:bottom w:val="nil"/>
              <w:right w:val="nil"/>
            </w:tcBorders>
          </w:tcPr>
          <w:p w14:paraId="582BF479">
            <w:pPr>
              <w:pStyle w:val="22"/>
              <w:widowControl/>
              <w:autoSpaceDE w:val="0"/>
              <w:spacing w:before="100" w:beforeAutospacing="1"/>
              <w:jc w:val="left"/>
              <w:rPr>
                <w:rFonts w:cs="Times New Roman"/>
                <w:color w:val="000000"/>
                <w:sz w:val="20"/>
                <w:szCs w:val="20"/>
              </w:rPr>
            </w:pPr>
            <w:r>
              <w:rPr>
                <w:rFonts w:cs="Times New Roman"/>
                <w:color w:val="000000"/>
                <w:sz w:val="20"/>
                <w:szCs w:val="20"/>
              </w:rPr>
              <w:t>-0.4577368***</w:t>
            </w:r>
          </w:p>
        </w:tc>
        <w:tc>
          <w:tcPr>
            <w:tcW w:w="1109" w:type="pct"/>
            <w:tcBorders>
              <w:top w:val="nil"/>
              <w:left w:val="nil"/>
              <w:bottom w:val="nil"/>
            </w:tcBorders>
          </w:tcPr>
          <w:p w14:paraId="294EB54D">
            <w:pPr>
              <w:pStyle w:val="22"/>
              <w:widowControl/>
              <w:autoSpaceDE w:val="0"/>
              <w:spacing w:before="100" w:beforeAutospacing="1"/>
              <w:jc w:val="left"/>
              <w:rPr>
                <w:rFonts w:cs="Times New Roman"/>
                <w:color w:val="000000"/>
                <w:sz w:val="20"/>
                <w:szCs w:val="20"/>
              </w:rPr>
            </w:pPr>
            <w:r>
              <w:rPr>
                <w:rFonts w:cs="Times New Roman"/>
                <w:color w:val="000000"/>
                <w:sz w:val="20"/>
                <w:szCs w:val="20"/>
              </w:rPr>
              <w:t>-1.667652***</w:t>
            </w:r>
          </w:p>
        </w:tc>
      </w:tr>
      <w:tr w14:paraId="39461A12">
        <w:trPr>
          <w:trHeight w:val="411" w:hRule="atLeast"/>
        </w:trPr>
        <w:tc>
          <w:tcPr>
            <w:tcW w:w="810" w:type="pct"/>
            <w:tcBorders>
              <w:top w:val="nil"/>
              <w:left w:val="nil"/>
              <w:bottom w:val="single" w:color="auto" w:sz="4" w:space="0"/>
              <w:right w:val="nil"/>
            </w:tcBorders>
          </w:tcPr>
          <w:p w14:paraId="26AE56AB">
            <w:pPr>
              <w:pStyle w:val="22"/>
              <w:widowControl/>
              <w:autoSpaceDE w:val="0"/>
              <w:spacing w:before="100" w:beforeAutospacing="1"/>
              <w:jc w:val="left"/>
              <w:rPr>
                <w:rFonts w:cs="Times New Roman"/>
                <w:color w:val="000000"/>
                <w:sz w:val="20"/>
                <w:szCs w:val="20"/>
              </w:rPr>
            </w:pPr>
          </w:p>
        </w:tc>
        <w:tc>
          <w:tcPr>
            <w:tcW w:w="956" w:type="pct"/>
            <w:tcBorders>
              <w:top w:val="nil"/>
              <w:left w:val="nil"/>
              <w:bottom w:val="single" w:color="auto" w:sz="4" w:space="0"/>
              <w:right w:val="nil"/>
            </w:tcBorders>
          </w:tcPr>
          <w:p w14:paraId="093FA4C8">
            <w:pPr>
              <w:pStyle w:val="22"/>
              <w:widowControl/>
              <w:autoSpaceDE w:val="0"/>
              <w:spacing w:before="100" w:beforeAutospacing="1"/>
              <w:rPr>
                <w:rFonts w:cs="Times New Roman"/>
                <w:color w:val="000000"/>
                <w:sz w:val="20"/>
                <w:szCs w:val="20"/>
              </w:rPr>
            </w:pPr>
            <w:r>
              <w:rPr>
                <w:rFonts w:cs="Times New Roman"/>
                <w:color w:val="000000"/>
                <w:sz w:val="20"/>
                <w:szCs w:val="20"/>
              </w:rPr>
              <w:t>(0.3361107)</w:t>
            </w:r>
          </w:p>
        </w:tc>
        <w:tc>
          <w:tcPr>
            <w:tcW w:w="988" w:type="pct"/>
            <w:tcBorders>
              <w:top w:val="nil"/>
              <w:left w:val="nil"/>
              <w:bottom w:val="single" w:color="auto" w:sz="4" w:space="0"/>
              <w:right w:val="nil"/>
            </w:tcBorders>
          </w:tcPr>
          <w:p w14:paraId="69A14B25">
            <w:pPr>
              <w:pStyle w:val="22"/>
              <w:widowControl/>
              <w:spacing w:before="100" w:beforeAutospacing="1"/>
              <w:rPr>
                <w:rFonts w:cs="Times New Roman"/>
                <w:color w:val="000000"/>
                <w:sz w:val="20"/>
                <w:szCs w:val="20"/>
              </w:rPr>
            </w:pPr>
            <w:r>
              <w:rPr>
                <w:rFonts w:cs="Times New Roman"/>
                <w:color w:val="000000"/>
                <w:sz w:val="20"/>
                <w:szCs w:val="20"/>
              </w:rPr>
              <w:t>(0.3866542)</w:t>
            </w:r>
          </w:p>
        </w:tc>
        <w:tc>
          <w:tcPr>
            <w:tcW w:w="1136" w:type="pct"/>
            <w:tcBorders>
              <w:top w:val="nil"/>
              <w:left w:val="nil"/>
              <w:bottom w:val="single" w:color="auto" w:sz="4" w:space="0"/>
              <w:right w:val="nil"/>
            </w:tcBorders>
          </w:tcPr>
          <w:p w14:paraId="6BCCB703">
            <w:pPr>
              <w:pStyle w:val="22"/>
              <w:widowControl/>
              <w:autoSpaceDE w:val="0"/>
              <w:spacing w:before="100" w:beforeAutospacing="1"/>
              <w:jc w:val="left"/>
              <w:rPr>
                <w:rFonts w:cs="Times New Roman"/>
                <w:color w:val="000000"/>
                <w:sz w:val="20"/>
                <w:szCs w:val="20"/>
              </w:rPr>
            </w:pPr>
            <w:r>
              <w:rPr>
                <w:rFonts w:cs="Times New Roman"/>
                <w:color w:val="000000"/>
                <w:sz w:val="20"/>
                <w:szCs w:val="20"/>
              </w:rPr>
              <w:t>(0.1494763)</w:t>
            </w:r>
          </w:p>
        </w:tc>
        <w:tc>
          <w:tcPr>
            <w:tcW w:w="1109" w:type="pct"/>
            <w:tcBorders>
              <w:top w:val="nil"/>
              <w:left w:val="nil"/>
              <w:bottom w:val="single" w:color="auto" w:sz="4" w:space="0"/>
            </w:tcBorders>
          </w:tcPr>
          <w:p w14:paraId="2795CF80">
            <w:pPr>
              <w:pStyle w:val="22"/>
              <w:widowControl/>
              <w:autoSpaceDE w:val="0"/>
              <w:spacing w:before="100" w:beforeAutospacing="1"/>
              <w:jc w:val="left"/>
              <w:rPr>
                <w:rFonts w:cs="Times New Roman"/>
                <w:color w:val="000000"/>
                <w:sz w:val="20"/>
                <w:szCs w:val="20"/>
              </w:rPr>
            </w:pPr>
            <w:r>
              <w:rPr>
                <w:rFonts w:cs="Times New Roman"/>
                <w:color w:val="000000"/>
                <w:sz w:val="20"/>
                <w:szCs w:val="20"/>
              </w:rPr>
              <w:t>(0.4194832)</w:t>
            </w:r>
          </w:p>
        </w:tc>
      </w:tr>
      <w:tr w14:paraId="041B3F2B">
        <w:trPr>
          <w:trHeight w:val="411" w:hRule="atLeast"/>
        </w:trPr>
        <w:tc>
          <w:tcPr>
            <w:tcW w:w="810" w:type="pct"/>
            <w:tcBorders>
              <w:top w:val="single" w:color="auto" w:sz="4" w:space="0"/>
              <w:left w:val="nil"/>
              <w:bottom w:val="nil"/>
              <w:right w:val="nil"/>
            </w:tcBorders>
          </w:tcPr>
          <w:p w14:paraId="516303B2">
            <w:pPr>
              <w:pStyle w:val="22"/>
              <w:widowControl/>
              <w:autoSpaceDE w:val="0"/>
              <w:spacing w:before="100" w:beforeAutospacing="1"/>
              <w:jc w:val="left"/>
              <w:rPr>
                <w:rFonts w:cs="Times New Roman"/>
                <w:color w:val="000000"/>
                <w:sz w:val="20"/>
                <w:szCs w:val="20"/>
              </w:rPr>
            </w:pPr>
            <w:r>
              <w:rPr>
                <w:rFonts w:cs="Times New Roman"/>
                <w:color w:val="000000"/>
                <w:sz w:val="20"/>
                <w:szCs w:val="20"/>
              </w:rPr>
              <w:t>Number of observations</w:t>
            </w:r>
          </w:p>
        </w:tc>
        <w:tc>
          <w:tcPr>
            <w:tcW w:w="956" w:type="pct"/>
            <w:tcBorders>
              <w:top w:val="single" w:color="auto" w:sz="4" w:space="0"/>
              <w:left w:val="nil"/>
              <w:bottom w:val="nil"/>
              <w:right w:val="nil"/>
            </w:tcBorders>
          </w:tcPr>
          <w:p w14:paraId="5E91B7BA">
            <w:pPr>
              <w:pStyle w:val="22"/>
              <w:widowControl/>
              <w:autoSpaceDE w:val="0"/>
              <w:spacing w:before="100" w:beforeAutospacing="1"/>
              <w:rPr>
                <w:rFonts w:cs="Times New Roman"/>
                <w:color w:val="000000"/>
                <w:sz w:val="20"/>
                <w:szCs w:val="20"/>
              </w:rPr>
            </w:pPr>
            <w:r>
              <w:rPr>
                <w:rFonts w:cs="Times New Roman"/>
                <w:color w:val="000000"/>
                <w:sz w:val="20"/>
                <w:szCs w:val="20"/>
              </w:rPr>
              <w:t>325</w:t>
            </w:r>
          </w:p>
        </w:tc>
        <w:tc>
          <w:tcPr>
            <w:tcW w:w="988" w:type="pct"/>
            <w:tcBorders>
              <w:top w:val="single" w:color="auto" w:sz="4" w:space="0"/>
              <w:left w:val="nil"/>
              <w:bottom w:val="nil"/>
              <w:right w:val="nil"/>
            </w:tcBorders>
          </w:tcPr>
          <w:p w14:paraId="17424246">
            <w:pPr>
              <w:pStyle w:val="22"/>
              <w:widowControl/>
              <w:spacing w:before="100" w:beforeAutospacing="1"/>
              <w:rPr>
                <w:rFonts w:cs="Times New Roman"/>
                <w:color w:val="000000"/>
                <w:sz w:val="20"/>
                <w:szCs w:val="20"/>
              </w:rPr>
            </w:pPr>
            <w:r>
              <w:rPr>
                <w:rFonts w:cs="Times New Roman"/>
                <w:color w:val="000000"/>
                <w:sz w:val="20"/>
                <w:szCs w:val="20"/>
              </w:rPr>
              <w:t>325</w:t>
            </w:r>
          </w:p>
        </w:tc>
        <w:tc>
          <w:tcPr>
            <w:tcW w:w="1136" w:type="pct"/>
            <w:tcBorders>
              <w:top w:val="single" w:color="auto" w:sz="4" w:space="0"/>
              <w:left w:val="nil"/>
              <w:bottom w:val="nil"/>
              <w:right w:val="nil"/>
            </w:tcBorders>
          </w:tcPr>
          <w:p w14:paraId="63F539E4">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c>
          <w:tcPr>
            <w:tcW w:w="1109" w:type="pct"/>
            <w:tcBorders>
              <w:top w:val="single" w:color="auto" w:sz="4" w:space="0"/>
              <w:left w:val="nil"/>
              <w:bottom w:val="nil"/>
            </w:tcBorders>
          </w:tcPr>
          <w:p w14:paraId="51BABE16">
            <w:pPr>
              <w:pStyle w:val="22"/>
              <w:widowControl/>
              <w:autoSpaceDE w:val="0"/>
              <w:spacing w:before="100" w:beforeAutospacing="1"/>
              <w:jc w:val="left"/>
              <w:rPr>
                <w:rFonts w:cs="Times New Roman"/>
                <w:color w:val="000000"/>
                <w:sz w:val="20"/>
                <w:szCs w:val="20"/>
              </w:rPr>
            </w:pPr>
            <w:r>
              <w:rPr>
                <w:rFonts w:cs="Times New Roman"/>
                <w:color w:val="000000"/>
                <w:sz w:val="20"/>
                <w:szCs w:val="20"/>
              </w:rPr>
              <w:t>325</w:t>
            </w:r>
          </w:p>
        </w:tc>
      </w:tr>
      <w:tr w14:paraId="32AA07E6">
        <w:trPr>
          <w:trHeight w:val="411" w:hRule="atLeast"/>
        </w:trPr>
        <w:tc>
          <w:tcPr>
            <w:tcW w:w="810" w:type="pct"/>
            <w:tcBorders>
              <w:top w:val="nil"/>
              <w:left w:val="nil"/>
              <w:bottom w:val="single" w:color="000000" w:sz="4" w:space="0"/>
              <w:right w:val="nil"/>
            </w:tcBorders>
          </w:tcPr>
          <w:p w14:paraId="2452FAB0">
            <w:pPr>
              <w:pStyle w:val="22"/>
              <w:widowControl/>
              <w:autoSpaceDE w:val="0"/>
              <w:spacing w:before="100" w:beforeAutospacing="1"/>
              <w:jc w:val="left"/>
              <w:rPr>
                <w:rFonts w:cs="Times New Roman"/>
                <w:color w:val="000000"/>
                <w:sz w:val="20"/>
                <w:szCs w:val="20"/>
              </w:rPr>
            </w:pPr>
            <w:r>
              <w:rPr>
                <w:rFonts w:cs="Times New Roman"/>
                <w:color w:val="000000"/>
                <w:sz w:val="20"/>
                <w:szCs w:val="20"/>
              </w:rPr>
              <w:t>Number of countries</w:t>
            </w:r>
          </w:p>
        </w:tc>
        <w:tc>
          <w:tcPr>
            <w:tcW w:w="956" w:type="pct"/>
            <w:tcBorders>
              <w:top w:val="nil"/>
              <w:left w:val="nil"/>
              <w:bottom w:val="single" w:color="000000" w:sz="4" w:space="0"/>
              <w:right w:val="nil"/>
            </w:tcBorders>
          </w:tcPr>
          <w:p w14:paraId="1E67EFE8">
            <w:pPr>
              <w:pStyle w:val="22"/>
              <w:widowControl/>
              <w:autoSpaceDE w:val="0"/>
              <w:spacing w:before="100" w:beforeAutospacing="1"/>
              <w:rPr>
                <w:rFonts w:cs="Times New Roman"/>
                <w:color w:val="000000"/>
                <w:sz w:val="20"/>
                <w:szCs w:val="20"/>
              </w:rPr>
            </w:pPr>
            <w:r>
              <w:rPr>
                <w:rFonts w:cs="Times New Roman"/>
                <w:color w:val="000000"/>
                <w:sz w:val="20"/>
                <w:szCs w:val="20"/>
              </w:rPr>
              <w:t>13</w:t>
            </w:r>
          </w:p>
        </w:tc>
        <w:tc>
          <w:tcPr>
            <w:tcW w:w="988" w:type="pct"/>
            <w:tcBorders>
              <w:top w:val="nil"/>
              <w:left w:val="nil"/>
              <w:bottom w:val="single" w:color="auto" w:sz="4" w:space="0"/>
              <w:right w:val="nil"/>
            </w:tcBorders>
          </w:tcPr>
          <w:p w14:paraId="146B5314">
            <w:pPr>
              <w:pStyle w:val="22"/>
              <w:widowControl/>
              <w:spacing w:before="100" w:beforeAutospacing="1"/>
              <w:rPr>
                <w:rFonts w:cs="Times New Roman"/>
                <w:color w:val="000000"/>
                <w:sz w:val="20"/>
                <w:szCs w:val="20"/>
              </w:rPr>
            </w:pPr>
            <w:r>
              <w:rPr>
                <w:rFonts w:cs="Times New Roman"/>
                <w:color w:val="000000"/>
                <w:sz w:val="20"/>
                <w:szCs w:val="20"/>
              </w:rPr>
              <w:t>13</w:t>
            </w:r>
          </w:p>
        </w:tc>
        <w:tc>
          <w:tcPr>
            <w:tcW w:w="1136" w:type="pct"/>
            <w:tcBorders>
              <w:top w:val="nil"/>
              <w:left w:val="nil"/>
              <w:bottom w:val="single" w:color="000000" w:sz="4" w:space="0"/>
              <w:right w:val="nil"/>
            </w:tcBorders>
          </w:tcPr>
          <w:p w14:paraId="745ED7CA">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c>
          <w:tcPr>
            <w:tcW w:w="1109" w:type="pct"/>
            <w:tcBorders>
              <w:top w:val="nil"/>
              <w:left w:val="nil"/>
              <w:bottom w:val="single" w:color="auto" w:sz="4" w:space="0"/>
            </w:tcBorders>
          </w:tcPr>
          <w:p w14:paraId="7589630E">
            <w:pPr>
              <w:pStyle w:val="22"/>
              <w:widowControl/>
              <w:autoSpaceDE w:val="0"/>
              <w:spacing w:before="100" w:beforeAutospacing="1"/>
              <w:jc w:val="left"/>
              <w:rPr>
                <w:rFonts w:cs="Times New Roman"/>
                <w:color w:val="000000"/>
                <w:sz w:val="20"/>
                <w:szCs w:val="20"/>
              </w:rPr>
            </w:pPr>
            <w:r>
              <w:rPr>
                <w:rFonts w:cs="Times New Roman"/>
                <w:color w:val="000000"/>
                <w:sz w:val="20"/>
                <w:szCs w:val="20"/>
              </w:rPr>
              <w:t>13</w:t>
            </w:r>
          </w:p>
        </w:tc>
      </w:tr>
    </w:tbl>
    <w:p w14:paraId="05CC8518">
      <w:pPr>
        <w:pStyle w:val="3"/>
        <w:numPr>
          <w:ilvl w:val="1"/>
          <w:numId w:val="0"/>
        </w:numPr>
        <w:ind w:leftChars="0"/>
        <w:rPr>
          <w:rFonts w:eastAsiaTheme="minorEastAsia"/>
        </w:rPr>
      </w:pPr>
      <w:bookmarkStart w:id="138" w:name="_Toc216969543"/>
      <w:r>
        <w:rPr>
          <w:rFonts w:eastAsiaTheme="minorEastAsia"/>
        </w:rPr>
        <w:t>Summary of Hypothesis Testing Results</w:t>
      </w:r>
      <w:bookmarkEnd w:id="138"/>
    </w:p>
    <w:p w14:paraId="121AB03B">
      <w:pPr>
        <w:pStyle w:val="7"/>
      </w:pPr>
      <w:bookmarkStart w:id="139" w:name="_Toc216867807"/>
      <w:r>
        <w:t xml:space="preserve">Table </w:t>
      </w:r>
      <w:r>
        <w:rPr>
          <w:rFonts w:hint="eastAsia" w:eastAsia="宋体"/>
          <w:lang w:val="en-US" w:eastAsia="zh-CN"/>
        </w:rPr>
        <w:t>18</w:t>
      </w:r>
      <w:r>
        <w:t xml:space="preserve"> Hypothesis Result</w:t>
      </w:r>
      <w:bookmarkEnd w:id="139"/>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4"/>
        <w:gridCol w:w="1431"/>
        <w:gridCol w:w="2527"/>
        <w:gridCol w:w="2644"/>
      </w:tblGrid>
      <w:tr w14:paraId="0AE29689">
        <w:trPr>
          <w:jc w:val="center"/>
        </w:trPr>
        <w:tc>
          <w:tcPr>
            <w:tcW w:w="1087" w:type="pct"/>
            <w:tcBorders>
              <w:top w:val="single" w:color="auto" w:sz="4" w:space="0"/>
              <w:left w:val="single" w:color="auto" w:sz="4" w:space="0"/>
              <w:bottom w:val="single" w:color="auto" w:sz="4" w:space="0"/>
              <w:right w:val="single" w:color="auto" w:sz="4" w:space="0"/>
            </w:tcBorders>
            <w:shd w:val="clear" w:color="auto" w:fill="EDEDED"/>
            <w:vAlign w:val="center"/>
          </w:tcPr>
          <w:p w14:paraId="24E777FD">
            <w:pPr>
              <w:jc w:val="center"/>
              <w:rPr>
                <w:rFonts w:cs="Times New Roman"/>
                <w:bCs w:val="0"/>
                <w:kern w:val="0"/>
                <w:sz w:val="20"/>
                <w:szCs w:val="20"/>
              </w:rPr>
            </w:pPr>
            <w:r>
              <w:rPr>
                <w:rFonts w:cs="Times New Roman"/>
                <w:b/>
                <w:sz w:val="20"/>
                <w:szCs w:val="20"/>
              </w:rPr>
              <w:t>Hypothesis</w:t>
            </w:r>
          </w:p>
        </w:tc>
        <w:tc>
          <w:tcPr>
            <w:tcW w:w="848" w:type="pct"/>
            <w:tcBorders>
              <w:top w:val="single" w:color="auto" w:sz="4" w:space="0"/>
              <w:left w:val="single" w:color="auto" w:sz="4" w:space="0"/>
              <w:bottom w:val="single" w:color="auto" w:sz="4" w:space="0"/>
              <w:right w:val="single" w:color="auto" w:sz="4" w:space="0"/>
            </w:tcBorders>
            <w:shd w:val="clear" w:color="auto" w:fill="EDEDED"/>
            <w:vAlign w:val="center"/>
          </w:tcPr>
          <w:p w14:paraId="5EF2F35C">
            <w:pPr>
              <w:jc w:val="center"/>
              <w:rPr>
                <w:rFonts w:cs="Times New Roman"/>
                <w:sz w:val="20"/>
                <w:szCs w:val="20"/>
              </w:rPr>
            </w:pPr>
            <w:r>
              <w:rPr>
                <w:rFonts w:cs="Times New Roman"/>
                <w:b/>
                <w:sz w:val="20"/>
                <w:szCs w:val="20"/>
              </w:rPr>
              <w:t>Expected sign</w:t>
            </w:r>
          </w:p>
        </w:tc>
        <w:tc>
          <w:tcPr>
            <w:tcW w:w="1498" w:type="pct"/>
            <w:tcBorders>
              <w:top w:val="single" w:color="auto" w:sz="4" w:space="0"/>
              <w:left w:val="single" w:color="auto" w:sz="4" w:space="0"/>
              <w:bottom w:val="single" w:color="auto" w:sz="4" w:space="0"/>
              <w:right w:val="single" w:color="auto" w:sz="4" w:space="0"/>
            </w:tcBorders>
            <w:shd w:val="clear" w:color="auto" w:fill="EDEDED"/>
            <w:vAlign w:val="center"/>
          </w:tcPr>
          <w:p w14:paraId="296EF115">
            <w:pPr>
              <w:jc w:val="center"/>
              <w:rPr>
                <w:rFonts w:cs="Times New Roman"/>
                <w:sz w:val="20"/>
                <w:szCs w:val="20"/>
              </w:rPr>
            </w:pPr>
            <w:r>
              <w:rPr>
                <w:rFonts w:cs="Times New Roman"/>
                <w:b/>
                <w:sz w:val="20"/>
                <w:szCs w:val="20"/>
              </w:rPr>
              <w:t>Empirical result (baseline)</w:t>
            </w:r>
          </w:p>
        </w:tc>
        <w:tc>
          <w:tcPr>
            <w:tcW w:w="1567" w:type="pct"/>
            <w:tcBorders>
              <w:top w:val="single" w:color="auto" w:sz="4" w:space="0"/>
              <w:left w:val="single" w:color="auto" w:sz="4" w:space="0"/>
              <w:bottom w:val="single" w:color="auto" w:sz="4" w:space="0"/>
              <w:right w:val="single" w:color="auto" w:sz="4" w:space="0"/>
            </w:tcBorders>
            <w:shd w:val="clear" w:color="auto" w:fill="EDEDED"/>
            <w:vAlign w:val="center"/>
          </w:tcPr>
          <w:p w14:paraId="2023723F">
            <w:pPr>
              <w:jc w:val="center"/>
              <w:rPr>
                <w:rFonts w:cs="Times New Roman"/>
                <w:sz w:val="20"/>
                <w:szCs w:val="20"/>
              </w:rPr>
            </w:pPr>
            <w:r>
              <w:rPr>
                <w:rFonts w:cs="Times New Roman"/>
                <w:b/>
                <w:sz w:val="20"/>
                <w:szCs w:val="20"/>
              </w:rPr>
              <w:t>Decision</w:t>
            </w:r>
          </w:p>
        </w:tc>
      </w:tr>
      <w:tr w14:paraId="056689E9">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31B5A95D">
            <w:pPr>
              <w:jc w:val="center"/>
              <w:rPr>
                <w:rFonts w:eastAsia="宋体" w:cs="Times New Roman"/>
                <w:sz w:val="20"/>
                <w:szCs w:val="20"/>
              </w:rPr>
            </w:pPr>
            <w:r>
              <w:rPr>
                <w:rFonts w:cs="Times New Roman"/>
                <w:sz w:val="20"/>
                <w:szCs w:val="20"/>
              </w:rPr>
              <w:t>H1(a)</w:t>
            </w:r>
            <w:r>
              <w:rPr>
                <w:rFonts w:eastAsia="宋体" w:cs="Times New Roman"/>
                <w:sz w:val="20"/>
                <w:szCs w:val="20"/>
              </w:rPr>
              <w:t>-GDP</w:t>
            </w:r>
          </w:p>
        </w:tc>
        <w:tc>
          <w:tcPr>
            <w:tcW w:w="848" w:type="pct"/>
            <w:tcBorders>
              <w:top w:val="single" w:color="auto" w:sz="4" w:space="0"/>
              <w:left w:val="single" w:color="auto" w:sz="4" w:space="0"/>
              <w:bottom w:val="single" w:color="auto" w:sz="4" w:space="0"/>
              <w:right w:val="single" w:color="auto" w:sz="4" w:space="0"/>
            </w:tcBorders>
            <w:vAlign w:val="center"/>
          </w:tcPr>
          <w:p w14:paraId="212F12FA">
            <w:pPr>
              <w:jc w:val="center"/>
              <w:rPr>
                <w:rFonts w:eastAsia="MS Mincho" w:cs="Times New Roman"/>
                <w:sz w:val="20"/>
                <w:szCs w:val="20"/>
              </w:rPr>
            </w:pPr>
            <w:r>
              <w:rPr>
                <w:rFonts w:cs="Times New Roman"/>
                <w:sz w:val="20"/>
                <w:szCs w:val="20"/>
              </w:rPr>
              <w:t>-</w:t>
            </w:r>
          </w:p>
        </w:tc>
        <w:tc>
          <w:tcPr>
            <w:tcW w:w="1498" w:type="pct"/>
            <w:tcBorders>
              <w:top w:val="single" w:color="auto" w:sz="4" w:space="0"/>
              <w:left w:val="single" w:color="auto" w:sz="4" w:space="0"/>
              <w:bottom w:val="single" w:color="auto" w:sz="4" w:space="0"/>
              <w:right w:val="single" w:color="auto" w:sz="4" w:space="0"/>
            </w:tcBorders>
            <w:vAlign w:val="center"/>
          </w:tcPr>
          <w:p w14:paraId="25F7D185">
            <w:pPr>
              <w:rPr>
                <w:rFonts w:cs="Times New Roman"/>
                <w:sz w:val="20"/>
                <w:szCs w:val="20"/>
              </w:rPr>
            </w:pPr>
            <w:r>
              <w:rPr>
                <w:rFonts w:cs="Times New Roman"/>
                <w:sz w:val="20"/>
                <w:szCs w:val="20"/>
              </w:rPr>
              <w:t>0.0094***</w:t>
            </w:r>
          </w:p>
        </w:tc>
        <w:tc>
          <w:tcPr>
            <w:tcW w:w="1567" w:type="pct"/>
            <w:tcBorders>
              <w:top w:val="single" w:color="auto" w:sz="4" w:space="0"/>
              <w:left w:val="single" w:color="auto" w:sz="4" w:space="0"/>
              <w:bottom w:val="single" w:color="auto" w:sz="4" w:space="0"/>
              <w:right w:val="single" w:color="auto" w:sz="4" w:space="0"/>
            </w:tcBorders>
            <w:vAlign w:val="center"/>
          </w:tcPr>
          <w:p w14:paraId="2F2DA6D8">
            <w:pPr>
              <w:rPr>
                <w:rFonts w:cs="Times New Roman"/>
                <w:sz w:val="20"/>
                <w:szCs w:val="20"/>
              </w:rPr>
            </w:pPr>
            <w:r>
              <w:rPr>
                <w:rFonts w:cs="Times New Roman"/>
                <w:sz w:val="20"/>
                <w:szCs w:val="20"/>
              </w:rPr>
              <w:t>Not supported (opposite sign)</w:t>
            </w:r>
          </w:p>
        </w:tc>
      </w:tr>
      <w:tr w14:paraId="13C6DBA7">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49C5502A">
            <w:pPr>
              <w:jc w:val="center"/>
              <w:rPr>
                <w:rFonts w:cs="Times New Roman"/>
                <w:sz w:val="20"/>
                <w:szCs w:val="20"/>
              </w:rPr>
            </w:pPr>
            <w:r>
              <w:rPr>
                <w:rFonts w:cs="Times New Roman"/>
                <w:sz w:val="20"/>
                <w:szCs w:val="20"/>
              </w:rPr>
              <w:t xml:space="preserve">H1(b)-Unemployed </w:t>
            </w:r>
          </w:p>
        </w:tc>
        <w:tc>
          <w:tcPr>
            <w:tcW w:w="848" w:type="pct"/>
            <w:tcBorders>
              <w:top w:val="single" w:color="auto" w:sz="4" w:space="0"/>
              <w:left w:val="single" w:color="auto" w:sz="4" w:space="0"/>
              <w:bottom w:val="single" w:color="auto" w:sz="4" w:space="0"/>
              <w:right w:val="single" w:color="auto" w:sz="4" w:space="0"/>
            </w:tcBorders>
            <w:vAlign w:val="center"/>
          </w:tcPr>
          <w:p w14:paraId="31A12EA7">
            <w:pPr>
              <w:jc w:val="center"/>
              <w:rPr>
                <w:rFonts w:cs="Times New Roman"/>
                <w:sz w:val="20"/>
                <w:szCs w:val="20"/>
              </w:rPr>
            </w:pPr>
            <w:r>
              <w:rPr>
                <w:rFonts w:cs="Times New Roman"/>
                <w:sz w:val="20"/>
                <w:szCs w:val="20"/>
              </w:rPr>
              <w:t>+</w:t>
            </w:r>
          </w:p>
        </w:tc>
        <w:tc>
          <w:tcPr>
            <w:tcW w:w="1498" w:type="pct"/>
            <w:tcBorders>
              <w:top w:val="single" w:color="auto" w:sz="4" w:space="0"/>
              <w:left w:val="single" w:color="auto" w:sz="4" w:space="0"/>
              <w:bottom w:val="single" w:color="auto" w:sz="4" w:space="0"/>
              <w:right w:val="single" w:color="auto" w:sz="4" w:space="0"/>
            </w:tcBorders>
            <w:vAlign w:val="center"/>
          </w:tcPr>
          <w:p w14:paraId="0F879CE1">
            <w:pPr>
              <w:rPr>
                <w:rFonts w:cs="Times New Roman"/>
                <w:sz w:val="20"/>
                <w:szCs w:val="20"/>
              </w:rPr>
            </w:pPr>
            <w:r>
              <w:rPr>
                <w:rFonts w:hint="eastAsia" w:cs="Times New Roman"/>
                <w:sz w:val="20"/>
                <w:szCs w:val="20"/>
              </w:rPr>
              <w:t>-</w:t>
            </w:r>
            <w:r>
              <w:rPr>
                <w:rFonts w:cs="Times New Roman"/>
                <w:sz w:val="20"/>
                <w:szCs w:val="20"/>
              </w:rPr>
              <w:t>0.0015467</w:t>
            </w:r>
          </w:p>
        </w:tc>
        <w:tc>
          <w:tcPr>
            <w:tcW w:w="1567" w:type="pct"/>
            <w:tcBorders>
              <w:top w:val="single" w:color="auto" w:sz="4" w:space="0"/>
              <w:left w:val="single" w:color="auto" w:sz="4" w:space="0"/>
              <w:bottom w:val="single" w:color="auto" w:sz="4" w:space="0"/>
              <w:right w:val="single" w:color="auto" w:sz="4" w:space="0"/>
            </w:tcBorders>
            <w:vAlign w:val="center"/>
          </w:tcPr>
          <w:p w14:paraId="609A1FE7">
            <w:pPr>
              <w:rPr>
                <w:rFonts w:cs="Times New Roman"/>
                <w:sz w:val="20"/>
                <w:szCs w:val="20"/>
              </w:rPr>
            </w:pPr>
            <w:r>
              <w:rPr>
                <w:rFonts w:cs="Times New Roman"/>
                <w:sz w:val="20"/>
                <w:szCs w:val="20"/>
              </w:rPr>
              <w:t>No</w:t>
            </w:r>
            <w:r>
              <w:rPr>
                <w:rFonts w:hint="eastAsia" w:cs="Times New Roman"/>
                <w:sz w:val="20"/>
                <w:szCs w:val="20"/>
              </w:rPr>
              <w:t xml:space="preserve">t </w:t>
            </w:r>
            <w:r>
              <w:rPr>
                <w:rFonts w:cs="Times New Roman"/>
                <w:sz w:val="20"/>
                <w:szCs w:val="20"/>
              </w:rPr>
              <w:t>supported</w:t>
            </w:r>
          </w:p>
        </w:tc>
      </w:tr>
      <w:tr w14:paraId="76B60E88">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4EE55D60">
            <w:pPr>
              <w:jc w:val="center"/>
              <w:rPr>
                <w:rFonts w:cs="Times New Roman"/>
                <w:sz w:val="20"/>
                <w:szCs w:val="20"/>
              </w:rPr>
            </w:pPr>
            <w:r>
              <w:rPr>
                <w:rFonts w:cs="Times New Roman"/>
                <w:sz w:val="20"/>
                <w:szCs w:val="20"/>
              </w:rPr>
              <w:t>H1(c)-Agriculture</w:t>
            </w:r>
          </w:p>
        </w:tc>
        <w:tc>
          <w:tcPr>
            <w:tcW w:w="848" w:type="pct"/>
            <w:tcBorders>
              <w:top w:val="single" w:color="auto" w:sz="4" w:space="0"/>
              <w:left w:val="single" w:color="auto" w:sz="4" w:space="0"/>
              <w:bottom w:val="single" w:color="auto" w:sz="4" w:space="0"/>
              <w:right w:val="single" w:color="auto" w:sz="4" w:space="0"/>
            </w:tcBorders>
            <w:vAlign w:val="center"/>
          </w:tcPr>
          <w:p w14:paraId="503BFF32">
            <w:pPr>
              <w:jc w:val="center"/>
              <w:rPr>
                <w:rFonts w:cs="Times New Roman"/>
                <w:sz w:val="20"/>
                <w:szCs w:val="20"/>
              </w:rPr>
            </w:pPr>
            <w:r>
              <w:rPr>
                <w:rFonts w:cs="Times New Roman"/>
                <w:sz w:val="20"/>
                <w:szCs w:val="20"/>
              </w:rPr>
              <w:t>-</w:t>
            </w:r>
          </w:p>
        </w:tc>
        <w:tc>
          <w:tcPr>
            <w:tcW w:w="1498" w:type="pct"/>
            <w:tcBorders>
              <w:top w:val="single" w:color="auto" w:sz="4" w:space="0"/>
              <w:left w:val="single" w:color="auto" w:sz="4" w:space="0"/>
              <w:bottom w:val="single" w:color="auto" w:sz="4" w:space="0"/>
              <w:right w:val="single" w:color="auto" w:sz="4" w:space="0"/>
            </w:tcBorders>
            <w:vAlign w:val="center"/>
          </w:tcPr>
          <w:p w14:paraId="28B9FA68">
            <w:pPr>
              <w:rPr>
                <w:rFonts w:cs="Times New Roman"/>
                <w:sz w:val="20"/>
                <w:szCs w:val="20"/>
              </w:rPr>
            </w:pPr>
            <w:r>
              <w:rPr>
                <w:rFonts w:cs="Times New Roman"/>
                <w:sz w:val="20"/>
                <w:szCs w:val="20"/>
              </w:rPr>
              <w:t>0.0206***</w:t>
            </w:r>
          </w:p>
        </w:tc>
        <w:tc>
          <w:tcPr>
            <w:tcW w:w="1567" w:type="pct"/>
            <w:tcBorders>
              <w:top w:val="single" w:color="auto" w:sz="4" w:space="0"/>
              <w:left w:val="single" w:color="auto" w:sz="4" w:space="0"/>
              <w:bottom w:val="single" w:color="auto" w:sz="4" w:space="0"/>
              <w:right w:val="single" w:color="auto" w:sz="4" w:space="0"/>
            </w:tcBorders>
            <w:vAlign w:val="center"/>
          </w:tcPr>
          <w:p w14:paraId="01C82813">
            <w:pPr>
              <w:rPr>
                <w:rFonts w:cs="Times New Roman"/>
                <w:sz w:val="20"/>
                <w:szCs w:val="20"/>
              </w:rPr>
            </w:pPr>
            <w:r>
              <w:rPr>
                <w:rFonts w:cs="Times New Roman"/>
                <w:sz w:val="20"/>
                <w:szCs w:val="20"/>
              </w:rPr>
              <w:t>Not supported (opposite sign)</w:t>
            </w:r>
          </w:p>
        </w:tc>
      </w:tr>
      <w:tr w14:paraId="57E18A26">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41586900">
            <w:pPr>
              <w:jc w:val="center"/>
              <w:rPr>
                <w:rFonts w:cs="Times New Roman"/>
                <w:sz w:val="20"/>
                <w:szCs w:val="20"/>
              </w:rPr>
            </w:pPr>
            <w:r>
              <w:rPr>
                <w:rFonts w:cs="Times New Roman"/>
                <w:sz w:val="20"/>
                <w:szCs w:val="20"/>
              </w:rPr>
              <w:t>H1(d)-FDI</w:t>
            </w:r>
          </w:p>
        </w:tc>
        <w:tc>
          <w:tcPr>
            <w:tcW w:w="848" w:type="pct"/>
            <w:tcBorders>
              <w:top w:val="single" w:color="auto" w:sz="4" w:space="0"/>
              <w:left w:val="single" w:color="auto" w:sz="4" w:space="0"/>
              <w:bottom w:val="single" w:color="auto" w:sz="4" w:space="0"/>
              <w:right w:val="single" w:color="auto" w:sz="4" w:space="0"/>
            </w:tcBorders>
            <w:vAlign w:val="center"/>
          </w:tcPr>
          <w:p w14:paraId="77C0FD7D">
            <w:pPr>
              <w:jc w:val="center"/>
              <w:rPr>
                <w:rFonts w:cs="Times New Roman"/>
                <w:sz w:val="20"/>
                <w:szCs w:val="20"/>
              </w:rPr>
            </w:pPr>
            <w:r>
              <w:rPr>
                <w:rFonts w:cs="Times New Roman"/>
                <w:sz w:val="20"/>
                <w:szCs w:val="20"/>
              </w:rPr>
              <w:t>-</w:t>
            </w:r>
          </w:p>
        </w:tc>
        <w:tc>
          <w:tcPr>
            <w:tcW w:w="1498" w:type="pct"/>
            <w:tcBorders>
              <w:top w:val="single" w:color="auto" w:sz="4" w:space="0"/>
              <w:left w:val="single" w:color="auto" w:sz="4" w:space="0"/>
              <w:bottom w:val="single" w:color="auto" w:sz="4" w:space="0"/>
              <w:right w:val="single" w:color="auto" w:sz="4" w:space="0"/>
            </w:tcBorders>
            <w:vAlign w:val="center"/>
          </w:tcPr>
          <w:p w14:paraId="41C9921B">
            <w:pPr>
              <w:rPr>
                <w:rFonts w:cs="Times New Roman"/>
                <w:sz w:val="20"/>
                <w:szCs w:val="20"/>
              </w:rPr>
            </w:pPr>
            <w:r>
              <w:rPr>
                <w:rFonts w:cs="Times New Roman"/>
                <w:sz w:val="20"/>
                <w:szCs w:val="20"/>
              </w:rPr>
              <w:t>0.0003</w:t>
            </w:r>
          </w:p>
        </w:tc>
        <w:tc>
          <w:tcPr>
            <w:tcW w:w="1567" w:type="pct"/>
            <w:tcBorders>
              <w:top w:val="single" w:color="auto" w:sz="4" w:space="0"/>
              <w:left w:val="single" w:color="auto" w:sz="4" w:space="0"/>
              <w:bottom w:val="single" w:color="auto" w:sz="4" w:space="0"/>
              <w:right w:val="single" w:color="auto" w:sz="4" w:space="0"/>
            </w:tcBorders>
            <w:vAlign w:val="center"/>
          </w:tcPr>
          <w:p w14:paraId="6CF6ECA6">
            <w:pPr>
              <w:rPr>
                <w:rFonts w:cs="Times New Roman"/>
                <w:sz w:val="20"/>
                <w:szCs w:val="20"/>
              </w:rPr>
            </w:pPr>
            <w:r>
              <w:rPr>
                <w:rFonts w:cs="Times New Roman"/>
                <w:sz w:val="20"/>
                <w:szCs w:val="20"/>
              </w:rPr>
              <w:t>Not supported</w:t>
            </w:r>
          </w:p>
        </w:tc>
      </w:tr>
      <w:tr w14:paraId="0419C194">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027DB896">
            <w:pPr>
              <w:jc w:val="center"/>
              <w:rPr>
                <w:rFonts w:cs="Times New Roman"/>
                <w:sz w:val="20"/>
                <w:szCs w:val="20"/>
              </w:rPr>
            </w:pPr>
            <w:r>
              <w:rPr>
                <w:rFonts w:cs="Times New Roman"/>
                <w:sz w:val="20"/>
                <w:szCs w:val="20"/>
              </w:rPr>
              <w:t>H1(e)-Inflation</w:t>
            </w:r>
          </w:p>
        </w:tc>
        <w:tc>
          <w:tcPr>
            <w:tcW w:w="848" w:type="pct"/>
            <w:tcBorders>
              <w:top w:val="single" w:color="auto" w:sz="4" w:space="0"/>
              <w:left w:val="single" w:color="auto" w:sz="4" w:space="0"/>
              <w:bottom w:val="single" w:color="auto" w:sz="4" w:space="0"/>
              <w:right w:val="single" w:color="auto" w:sz="4" w:space="0"/>
            </w:tcBorders>
            <w:vAlign w:val="center"/>
          </w:tcPr>
          <w:p w14:paraId="2C1F11BC">
            <w:pPr>
              <w:jc w:val="center"/>
              <w:rPr>
                <w:rFonts w:cs="Times New Roman"/>
                <w:sz w:val="20"/>
                <w:szCs w:val="20"/>
              </w:rPr>
            </w:pPr>
            <w:r>
              <w:rPr>
                <w:rFonts w:cs="Times New Roman"/>
                <w:sz w:val="20"/>
                <w:szCs w:val="20"/>
              </w:rPr>
              <w:t>+</w:t>
            </w:r>
          </w:p>
        </w:tc>
        <w:tc>
          <w:tcPr>
            <w:tcW w:w="1498" w:type="pct"/>
            <w:tcBorders>
              <w:top w:val="single" w:color="auto" w:sz="4" w:space="0"/>
              <w:left w:val="single" w:color="auto" w:sz="4" w:space="0"/>
              <w:bottom w:val="single" w:color="auto" w:sz="4" w:space="0"/>
              <w:right w:val="single" w:color="auto" w:sz="4" w:space="0"/>
            </w:tcBorders>
            <w:vAlign w:val="center"/>
          </w:tcPr>
          <w:p w14:paraId="3EF81877">
            <w:pPr>
              <w:rPr>
                <w:rFonts w:cs="Times New Roman"/>
                <w:bCs w:val="0"/>
                <w:sz w:val="20"/>
                <w:szCs w:val="20"/>
              </w:rPr>
            </w:pPr>
            <w:r>
              <w:rPr>
                <w:rFonts w:cs="Times New Roman"/>
                <w:bCs w:val="0"/>
                <w:sz w:val="20"/>
                <w:szCs w:val="20"/>
              </w:rPr>
              <w:t>0.0354274**</w:t>
            </w:r>
          </w:p>
        </w:tc>
        <w:tc>
          <w:tcPr>
            <w:tcW w:w="1567" w:type="pct"/>
            <w:tcBorders>
              <w:top w:val="single" w:color="auto" w:sz="4" w:space="0"/>
              <w:left w:val="single" w:color="auto" w:sz="4" w:space="0"/>
              <w:bottom w:val="single" w:color="auto" w:sz="4" w:space="0"/>
              <w:right w:val="single" w:color="auto" w:sz="4" w:space="0"/>
            </w:tcBorders>
            <w:vAlign w:val="center"/>
          </w:tcPr>
          <w:p w14:paraId="4ECF5C6E">
            <w:pPr>
              <w:rPr>
                <w:rFonts w:cs="Times New Roman"/>
                <w:sz w:val="20"/>
                <w:szCs w:val="20"/>
              </w:rPr>
            </w:pPr>
            <w:r>
              <w:rPr>
                <w:rFonts w:cs="Times New Roman"/>
                <w:sz w:val="20"/>
                <w:szCs w:val="20"/>
              </w:rPr>
              <w:t>Supported</w:t>
            </w:r>
          </w:p>
        </w:tc>
      </w:tr>
      <w:tr w14:paraId="00AA2313">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6B240788">
            <w:pPr>
              <w:jc w:val="center"/>
              <w:rPr>
                <w:rFonts w:cs="Times New Roman"/>
                <w:sz w:val="20"/>
                <w:szCs w:val="20"/>
              </w:rPr>
            </w:pPr>
            <w:r>
              <w:rPr>
                <w:rFonts w:cs="Times New Roman"/>
                <w:sz w:val="20"/>
                <w:szCs w:val="20"/>
              </w:rPr>
              <w:t>H2</w:t>
            </w:r>
          </w:p>
        </w:tc>
        <w:tc>
          <w:tcPr>
            <w:tcW w:w="848" w:type="pct"/>
            <w:tcBorders>
              <w:top w:val="single" w:color="auto" w:sz="4" w:space="0"/>
              <w:left w:val="single" w:color="auto" w:sz="4" w:space="0"/>
              <w:bottom w:val="single" w:color="auto" w:sz="4" w:space="0"/>
              <w:right w:val="single" w:color="auto" w:sz="4" w:space="0"/>
            </w:tcBorders>
            <w:vAlign w:val="center"/>
          </w:tcPr>
          <w:p w14:paraId="6041D228">
            <w:pPr>
              <w:jc w:val="center"/>
              <w:rPr>
                <w:rFonts w:cs="Times New Roman"/>
                <w:sz w:val="20"/>
                <w:szCs w:val="20"/>
              </w:rPr>
            </w:pPr>
            <w:r>
              <w:rPr>
                <w:rFonts w:cs="Times New Roman"/>
                <w:sz w:val="20"/>
                <w:szCs w:val="20"/>
              </w:rPr>
              <w:t>-</w:t>
            </w:r>
          </w:p>
        </w:tc>
        <w:tc>
          <w:tcPr>
            <w:tcW w:w="1498" w:type="pct"/>
            <w:tcBorders>
              <w:top w:val="single" w:color="auto" w:sz="4" w:space="0"/>
              <w:left w:val="single" w:color="auto" w:sz="4" w:space="0"/>
              <w:bottom w:val="single" w:color="auto" w:sz="4" w:space="0"/>
              <w:right w:val="single" w:color="auto" w:sz="4" w:space="0"/>
            </w:tcBorders>
            <w:vAlign w:val="center"/>
          </w:tcPr>
          <w:p w14:paraId="58283BFF">
            <w:pPr>
              <w:rPr>
                <w:rFonts w:cs="Times New Roman"/>
                <w:sz w:val="20"/>
                <w:szCs w:val="20"/>
              </w:rPr>
            </w:pPr>
            <w:r>
              <w:rPr>
                <w:rFonts w:cs="Times New Roman"/>
                <w:sz w:val="20"/>
                <w:szCs w:val="20"/>
              </w:rPr>
              <w:t>-0.0238**</w:t>
            </w:r>
          </w:p>
        </w:tc>
        <w:tc>
          <w:tcPr>
            <w:tcW w:w="1567" w:type="pct"/>
            <w:tcBorders>
              <w:top w:val="single" w:color="auto" w:sz="4" w:space="0"/>
              <w:left w:val="single" w:color="auto" w:sz="4" w:space="0"/>
              <w:bottom w:val="single" w:color="auto" w:sz="4" w:space="0"/>
              <w:right w:val="single" w:color="auto" w:sz="4" w:space="0"/>
            </w:tcBorders>
            <w:vAlign w:val="center"/>
          </w:tcPr>
          <w:p w14:paraId="1A927BF5">
            <w:pPr>
              <w:rPr>
                <w:rFonts w:cs="Times New Roman"/>
                <w:sz w:val="20"/>
                <w:szCs w:val="20"/>
              </w:rPr>
            </w:pPr>
            <w:r>
              <w:rPr>
                <w:rFonts w:cs="Times New Roman"/>
                <w:sz w:val="20"/>
                <w:szCs w:val="20"/>
              </w:rPr>
              <w:t>Supported</w:t>
            </w:r>
          </w:p>
        </w:tc>
      </w:tr>
      <w:tr w14:paraId="4481420D">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1A1044CE">
            <w:pPr>
              <w:jc w:val="center"/>
              <w:rPr>
                <w:rFonts w:cs="Times New Roman"/>
                <w:sz w:val="20"/>
                <w:szCs w:val="20"/>
              </w:rPr>
            </w:pPr>
            <w:r>
              <w:rPr>
                <w:rFonts w:cs="Times New Roman"/>
                <w:sz w:val="20"/>
                <w:szCs w:val="20"/>
              </w:rPr>
              <w:t>H3(a)-GDP</w:t>
            </w:r>
          </w:p>
        </w:tc>
        <w:tc>
          <w:tcPr>
            <w:tcW w:w="848" w:type="pct"/>
            <w:tcBorders>
              <w:top w:val="single" w:color="auto" w:sz="4" w:space="0"/>
              <w:left w:val="single" w:color="auto" w:sz="4" w:space="0"/>
              <w:bottom w:val="single" w:color="auto" w:sz="4" w:space="0"/>
              <w:right w:val="single" w:color="auto" w:sz="4" w:space="0"/>
            </w:tcBorders>
            <w:vAlign w:val="center"/>
          </w:tcPr>
          <w:p w14:paraId="7D2C4F73">
            <w:pPr>
              <w:jc w:val="center"/>
              <w:rPr>
                <w:rFonts w:cs="Times New Roman"/>
                <w:sz w:val="20"/>
                <w:szCs w:val="20"/>
              </w:rPr>
            </w:pPr>
            <w:r>
              <w:rPr>
                <w:rFonts w:cs="Times New Roman"/>
                <w:sz w:val="20"/>
                <w:szCs w:val="20"/>
              </w:rPr>
              <w:t>(- via GCF)</w:t>
            </w:r>
          </w:p>
        </w:tc>
        <w:tc>
          <w:tcPr>
            <w:tcW w:w="1498" w:type="pct"/>
            <w:tcBorders>
              <w:top w:val="single" w:color="auto" w:sz="4" w:space="0"/>
              <w:left w:val="single" w:color="auto" w:sz="4" w:space="0"/>
              <w:bottom w:val="single" w:color="auto" w:sz="4" w:space="0"/>
              <w:right w:val="single" w:color="auto" w:sz="4" w:space="0"/>
            </w:tcBorders>
            <w:vAlign w:val="center"/>
          </w:tcPr>
          <w:p w14:paraId="27F0F876">
            <w:pPr>
              <w:rPr>
                <w:rFonts w:cs="Times New Roman"/>
                <w:sz w:val="20"/>
                <w:szCs w:val="20"/>
              </w:rPr>
            </w:pPr>
            <w:r>
              <w:rPr>
                <w:rFonts w:cs="Times New Roman"/>
                <w:sz w:val="20"/>
                <w:szCs w:val="20"/>
              </w:rPr>
              <w:t xml:space="preserve">No mediation </w:t>
            </w:r>
          </w:p>
        </w:tc>
        <w:tc>
          <w:tcPr>
            <w:tcW w:w="1567" w:type="pct"/>
            <w:tcBorders>
              <w:top w:val="single" w:color="auto" w:sz="4" w:space="0"/>
              <w:left w:val="single" w:color="auto" w:sz="4" w:space="0"/>
              <w:bottom w:val="single" w:color="auto" w:sz="4" w:space="0"/>
              <w:right w:val="single" w:color="auto" w:sz="4" w:space="0"/>
            </w:tcBorders>
            <w:vAlign w:val="center"/>
          </w:tcPr>
          <w:p w14:paraId="62788488">
            <w:pPr>
              <w:rPr>
                <w:rFonts w:cs="Times New Roman"/>
                <w:sz w:val="20"/>
                <w:szCs w:val="20"/>
              </w:rPr>
            </w:pPr>
            <w:r>
              <w:rPr>
                <w:rFonts w:cs="Times New Roman"/>
                <w:sz w:val="20"/>
                <w:szCs w:val="20"/>
              </w:rPr>
              <w:t>Not supported</w:t>
            </w:r>
          </w:p>
        </w:tc>
      </w:tr>
      <w:tr w14:paraId="3FBC8FD9">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2DCFD519">
            <w:pPr>
              <w:jc w:val="center"/>
              <w:rPr>
                <w:rFonts w:cs="Times New Roman"/>
                <w:sz w:val="20"/>
                <w:szCs w:val="20"/>
              </w:rPr>
            </w:pPr>
            <w:r>
              <w:rPr>
                <w:rFonts w:cs="Times New Roman"/>
                <w:sz w:val="20"/>
                <w:szCs w:val="20"/>
              </w:rPr>
              <w:t>H3(b)-Unemployed</w:t>
            </w:r>
          </w:p>
        </w:tc>
        <w:tc>
          <w:tcPr>
            <w:tcW w:w="848" w:type="pct"/>
            <w:tcBorders>
              <w:top w:val="single" w:color="auto" w:sz="4" w:space="0"/>
              <w:left w:val="single" w:color="auto" w:sz="4" w:space="0"/>
              <w:bottom w:val="single" w:color="auto" w:sz="4" w:space="0"/>
              <w:right w:val="single" w:color="auto" w:sz="4" w:space="0"/>
            </w:tcBorders>
            <w:vAlign w:val="center"/>
          </w:tcPr>
          <w:p w14:paraId="192EFAE6">
            <w:pPr>
              <w:jc w:val="center"/>
              <w:rPr>
                <w:rFonts w:cs="Times New Roman"/>
                <w:sz w:val="20"/>
                <w:szCs w:val="20"/>
              </w:rPr>
            </w:pPr>
            <w:r>
              <w:rPr>
                <w:rFonts w:cs="Times New Roman"/>
                <w:sz w:val="20"/>
                <w:szCs w:val="20"/>
              </w:rPr>
              <w:t>(+ via GCF)</w:t>
            </w:r>
          </w:p>
        </w:tc>
        <w:tc>
          <w:tcPr>
            <w:tcW w:w="1498" w:type="pct"/>
            <w:tcBorders>
              <w:top w:val="single" w:color="auto" w:sz="4" w:space="0"/>
              <w:left w:val="single" w:color="auto" w:sz="4" w:space="0"/>
              <w:bottom w:val="single" w:color="auto" w:sz="4" w:space="0"/>
              <w:right w:val="single" w:color="auto" w:sz="4" w:space="0"/>
            </w:tcBorders>
            <w:vAlign w:val="center"/>
          </w:tcPr>
          <w:p w14:paraId="3A5C02BA">
            <w:pPr>
              <w:rPr>
                <w:rFonts w:cs="Times New Roman"/>
                <w:sz w:val="20"/>
                <w:szCs w:val="20"/>
              </w:rPr>
            </w:pPr>
            <w:r>
              <w:rPr>
                <w:rFonts w:cs="Times New Roman"/>
                <w:sz w:val="20"/>
                <w:szCs w:val="20"/>
              </w:rPr>
              <w:t xml:space="preserve">No mediation </w:t>
            </w:r>
          </w:p>
        </w:tc>
        <w:tc>
          <w:tcPr>
            <w:tcW w:w="1567" w:type="pct"/>
            <w:tcBorders>
              <w:top w:val="single" w:color="auto" w:sz="4" w:space="0"/>
              <w:left w:val="single" w:color="auto" w:sz="4" w:space="0"/>
              <w:bottom w:val="single" w:color="auto" w:sz="4" w:space="0"/>
              <w:right w:val="single" w:color="auto" w:sz="4" w:space="0"/>
            </w:tcBorders>
            <w:vAlign w:val="center"/>
          </w:tcPr>
          <w:p w14:paraId="76E163BF">
            <w:pPr>
              <w:rPr>
                <w:rFonts w:cs="Times New Roman"/>
                <w:sz w:val="20"/>
                <w:szCs w:val="20"/>
              </w:rPr>
            </w:pPr>
            <w:r>
              <w:rPr>
                <w:rFonts w:cs="Times New Roman"/>
                <w:sz w:val="20"/>
                <w:szCs w:val="20"/>
              </w:rPr>
              <w:t>Not supported</w:t>
            </w:r>
          </w:p>
        </w:tc>
      </w:tr>
      <w:tr w14:paraId="21D99497">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3FE73C3E">
            <w:pPr>
              <w:jc w:val="center"/>
              <w:rPr>
                <w:rFonts w:cs="Times New Roman"/>
                <w:sz w:val="20"/>
                <w:szCs w:val="20"/>
              </w:rPr>
            </w:pPr>
            <w:r>
              <w:rPr>
                <w:rFonts w:cs="Times New Roman"/>
                <w:sz w:val="20"/>
                <w:szCs w:val="20"/>
              </w:rPr>
              <w:t>H3(c)-Agriculture</w:t>
            </w:r>
          </w:p>
        </w:tc>
        <w:tc>
          <w:tcPr>
            <w:tcW w:w="848" w:type="pct"/>
            <w:tcBorders>
              <w:top w:val="single" w:color="auto" w:sz="4" w:space="0"/>
              <w:left w:val="single" w:color="auto" w:sz="4" w:space="0"/>
              <w:bottom w:val="single" w:color="auto" w:sz="4" w:space="0"/>
              <w:right w:val="single" w:color="auto" w:sz="4" w:space="0"/>
            </w:tcBorders>
            <w:vAlign w:val="center"/>
          </w:tcPr>
          <w:p w14:paraId="24FEEA25">
            <w:pPr>
              <w:jc w:val="center"/>
              <w:rPr>
                <w:rFonts w:cs="Times New Roman"/>
                <w:sz w:val="20"/>
                <w:szCs w:val="20"/>
              </w:rPr>
            </w:pPr>
            <w:r>
              <w:rPr>
                <w:rFonts w:cs="Times New Roman"/>
                <w:sz w:val="20"/>
                <w:szCs w:val="20"/>
              </w:rPr>
              <w:t>(- via GCF)</w:t>
            </w:r>
          </w:p>
        </w:tc>
        <w:tc>
          <w:tcPr>
            <w:tcW w:w="1498" w:type="pct"/>
            <w:tcBorders>
              <w:top w:val="single" w:color="auto" w:sz="4" w:space="0"/>
              <w:left w:val="single" w:color="auto" w:sz="4" w:space="0"/>
              <w:bottom w:val="single" w:color="auto" w:sz="4" w:space="0"/>
              <w:right w:val="single" w:color="auto" w:sz="4" w:space="0"/>
            </w:tcBorders>
            <w:vAlign w:val="center"/>
          </w:tcPr>
          <w:p w14:paraId="62695C30">
            <w:pPr>
              <w:rPr>
                <w:rFonts w:cs="Times New Roman"/>
                <w:sz w:val="20"/>
                <w:szCs w:val="20"/>
              </w:rPr>
            </w:pPr>
            <w:r>
              <w:rPr>
                <w:rFonts w:cs="Times New Roman"/>
                <w:sz w:val="20"/>
                <w:szCs w:val="20"/>
              </w:rPr>
              <w:t>Mediation via GCF</w:t>
            </w:r>
          </w:p>
        </w:tc>
        <w:tc>
          <w:tcPr>
            <w:tcW w:w="1567" w:type="pct"/>
            <w:tcBorders>
              <w:top w:val="single" w:color="auto" w:sz="4" w:space="0"/>
              <w:left w:val="single" w:color="auto" w:sz="4" w:space="0"/>
              <w:bottom w:val="single" w:color="auto" w:sz="4" w:space="0"/>
              <w:right w:val="single" w:color="auto" w:sz="4" w:space="0"/>
            </w:tcBorders>
            <w:vAlign w:val="center"/>
          </w:tcPr>
          <w:p w14:paraId="7F0299F7">
            <w:pPr>
              <w:rPr>
                <w:rFonts w:cs="Times New Roman"/>
                <w:sz w:val="20"/>
                <w:szCs w:val="20"/>
              </w:rPr>
            </w:pPr>
            <w:r>
              <w:rPr>
                <w:rFonts w:cs="Times New Roman"/>
                <w:sz w:val="20"/>
                <w:szCs w:val="20"/>
              </w:rPr>
              <w:t>Partially supported</w:t>
            </w:r>
          </w:p>
        </w:tc>
      </w:tr>
      <w:tr w14:paraId="4105BD10">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33262213">
            <w:pPr>
              <w:jc w:val="center"/>
              <w:rPr>
                <w:rFonts w:cs="Times New Roman"/>
                <w:sz w:val="20"/>
                <w:szCs w:val="20"/>
              </w:rPr>
            </w:pPr>
            <w:r>
              <w:rPr>
                <w:rFonts w:cs="Times New Roman"/>
                <w:sz w:val="20"/>
                <w:szCs w:val="20"/>
              </w:rPr>
              <w:t>H3(d)-FDI</w:t>
            </w:r>
          </w:p>
        </w:tc>
        <w:tc>
          <w:tcPr>
            <w:tcW w:w="848" w:type="pct"/>
            <w:tcBorders>
              <w:top w:val="single" w:color="auto" w:sz="4" w:space="0"/>
              <w:left w:val="single" w:color="auto" w:sz="4" w:space="0"/>
              <w:bottom w:val="single" w:color="auto" w:sz="4" w:space="0"/>
              <w:right w:val="single" w:color="auto" w:sz="4" w:space="0"/>
            </w:tcBorders>
            <w:vAlign w:val="center"/>
          </w:tcPr>
          <w:p w14:paraId="58F5F5BD">
            <w:pPr>
              <w:jc w:val="center"/>
              <w:rPr>
                <w:rFonts w:cs="Times New Roman"/>
                <w:sz w:val="20"/>
                <w:szCs w:val="20"/>
              </w:rPr>
            </w:pPr>
            <w:r>
              <w:rPr>
                <w:rFonts w:cs="Times New Roman"/>
                <w:sz w:val="20"/>
                <w:szCs w:val="20"/>
              </w:rPr>
              <w:t>(- via GCF)</w:t>
            </w:r>
          </w:p>
        </w:tc>
        <w:tc>
          <w:tcPr>
            <w:tcW w:w="1498" w:type="pct"/>
            <w:tcBorders>
              <w:top w:val="single" w:color="auto" w:sz="4" w:space="0"/>
              <w:left w:val="single" w:color="auto" w:sz="4" w:space="0"/>
              <w:bottom w:val="single" w:color="auto" w:sz="4" w:space="0"/>
              <w:right w:val="single" w:color="auto" w:sz="4" w:space="0"/>
            </w:tcBorders>
            <w:vAlign w:val="center"/>
          </w:tcPr>
          <w:p w14:paraId="6EE12E65">
            <w:pPr>
              <w:rPr>
                <w:rFonts w:cs="Times New Roman"/>
                <w:sz w:val="20"/>
                <w:szCs w:val="20"/>
              </w:rPr>
            </w:pPr>
            <w:r>
              <w:rPr>
                <w:rFonts w:cs="Times New Roman"/>
                <w:sz w:val="20"/>
                <w:szCs w:val="20"/>
              </w:rPr>
              <w:t>Weak mediation via GCF</w:t>
            </w:r>
          </w:p>
        </w:tc>
        <w:tc>
          <w:tcPr>
            <w:tcW w:w="1567" w:type="pct"/>
            <w:tcBorders>
              <w:top w:val="single" w:color="auto" w:sz="4" w:space="0"/>
              <w:left w:val="single" w:color="auto" w:sz="4" w:space="0"/>
              <w:bottom w:val="single" w:color="auto" w:sz="4" w:space="0"/>
              <w:right w:val="single" w:color="auto" w:sz="4" w:space="0"/>
            </w:tcBorders>
            <w:vAlign w:val="center"/>
          </w:tcPr>
          <w:p w14:paraId="4FBDD79F">
            <w:pPr>
              <w:rPr>
                <w:rFonts w:cs="Times New Roman"/>
                <w:sz w:val="20"/>
                <w:szCs w:val="20"/>
              </w:rPr>
            </w:pPr>
            <w:r>
              <w:rPr>
                <w:rFonts w:cs="Times New Roman"/>
                <w:sz w:val="20"/>
                <w:szCs w:val="20"/>
              </w:rPr>
              <w:t>Partially supported (weak)</w:t>
            </w:r>
          </w:p>
        </w:tc>
      </w:tr>
      <w:tr w14:paraId="342F83FC">
        <w:trPr>
          <w:jc w:val="center"/>
        </w:trPr>
        <w:tc>
          <w:tcPr>
            <w:tcW w:w="1087" w:type="pct"/>
            <w:tcBorders>
              <w:top w:val="single" w:color="auto" w:sz="4" w:space="0"/>
              <w:left w:val="single" w:color="auto" w:sz="4" w:space="0"/>
              <w:bottom w:val="single" w:color="auto" w:sz="4" w:space="0"/>
              <w:right w:val="single" w:color="auto" w:sz="4" w:space="0"/>
            </w:tcBorders>
            <w:vAlign w:val="center"/>
          </w:tcPr>
          <w:p w14:paraId="1432E189">
            <w:pPr>
              <w:jc w:val="center"/>
              <w:rPr>
                <w:rFonts w:cs="Times New Roman"/>
                <w:sz w:val="20"/>
                <w:szCs w:val="20"/>
              </w:rPr>
            </w:pPr>
            <w:r>
              <w:rPr>
                <w:rFonts w:cs="Times New Roman"/>
                <w:sz w:val="20"/>
                <w:szCs w:val="20"/>
              </w:rPr>
              <w:t>H3(e)-Inflation</w:t>
            </w:r>
          </w:p>
        </w:tc>
        <w:tc>
          <w:tcPr>
            <w:tcW w:w="848" w:type="pct"/>
            <w:tcBorders>
              <w:top w:val="single" w:color="auto" w:sz="4" w:space="0"/>
              <w:left w:val="single" w:color="auto" w:sz="4" w:space="0"/>
              <w:bottom w:val="single" w:color="auto" w:sz="4" w:space="0"/>
              <w:right w:val="single" w:color="auto" w:sz="4" w:space="0"/>
            </w:tcBorders>
            <w:vAlign w:val="center"/>
          </w:tcPr>
          <w:p w14:paraId="7F030C9F">
            <w:pPr>
              <w:jc w:val="center"/>
              <w:rPr>
                <w:rFonts w:cs="Times New Roman"/>
                <w:sz w:val="20"/>
                <w:szCs w:val="20"/>
              </w:rPr>
            </w:pPr>
            <w:r>
              <w:rPr>
                <w:rFonts w:cs="Times New Roman"/>
                <w:sz w:val="20"/>
                <w:szCs w:val="20"/>
              </w:rPr>
              <w:t>(+ via GCF)</w:t>
            </w:r>
          </w:p>
        </w:tc>
        <w:tc>
          <w:tcPr>
            <w:tcW w:w="1498" w:type="pct"/>
            <w:tcBorders>
              <w:top w:val="single" w:color="auto" w:sz="4" w:space="0"/>
              <w:left w:val="single" w:color="auto" w:sz="4" w:space="0"/>
              <w:bottom w:val="single" w:color="auto" w:sz="4" w:space="0"/>
              <w:right w:val="single" w:color="auto" w:sz="4" w:space="0"/>
            </w:tcBorders>
            <w:vAlign w:val="center"/>
          </w:tcPr>
          <w:p w14:paraId="33083762">
            <w:pPr>
              <w:rPr>
                <w:rFonts w:cs="Times New Roman"/>
                <w:sz w:val="20"/>
                <w:szCs w:val="20"/>
              </w:rPr>
            </w:pPr>
            <w:r>
              <w:rPr>
                <w:rFonts w:cs="Times New Roman"/>
                <w:sz w:val="20"/>
                <w:szCs w:val="20"/>
              </w:rPr>
              <w:t>Partial mediation via GCF</w:t>
            </w:r>
          </w:p>
        </w:tc>
        <w:tc>
          <w:tcPr>
            <w:tcW w:w="1567" w:type="pct"/>
            <w:tcBorders>
              <w:top w:val="single" w:color="auto" w:sz="4" w:space="0"/>
              <w:left w:val="single" w:color="auto" w:sz="4" w:space="0"/>
              <w:bottom w:val="single" w:color="auto" w:sz="4" w:space="0"/>
              <w:right w:val="single" w:color="auto" w:sz="4" w:space="0"/>
            </w:tcBorders>
            <w:vAlign w:val="center"/>
          </w:tcPr>
          <w:p w14:paraId="5D417B99">
            <w:pPr>
              <w:rPr>
                <w:rFonts w:cs="Times New Roman"/>
                <w:sz w:val="20"/>
                <w:szCs w:val="20"/>
              </w:rPr>
            </w:pPr>
            <w:r>
              <w:rPr>
                <w:rFonts w:cs="Times New Roman"/>
                <w:sz w:val="20"/>
                <w:szCs w:val="20"/>
              </w:rPr>
              <w:t>Supported (partial)</w:t>
            </w:r>
          </w:p>
        </w:tc>
      </w:tr>
    </w:tbl>
    <w:p w14:paraId="04C5C9B0">
      <w:pPr>
        <w:pStyle w:val="59"/>
        <w:numPr>
          <w:ilvl w:val="0"/>
          <w:numId w:val="0"/>
        </w:numPr>
        <w:spacing w:after="468"/>
        <w:ind w:leftChars="0"/>
        <w:jc w:val="center"/>
      </w:pPr>
      <w:bookmarkStart w:id="140" w:name="_Toc28087"/>
      <w:bookmarkStart w:id="141" w:name="_Toc201079603"/>
      <w:bookmarkStart w:id="142" w:name="_Toc212728566"/>
      <w:bookmarkStart w:id="143" w:name="_Toc202552668"/>
      <w:bookmarkStart w:id="144" w:name="_Toc216969546"/>
    </w:p>
    <w:p w14:paraId="7B6C8763">
      <w:pPr>
        <w:pStyle w:val="59"/>
        <w:numPr>
          <w:ilvl w:val="0"/>
          <w:numId w:val="0"/>
        </w:numPr>
        <w:spacing w:after="468"/>
        <w:ind w:leftChars="0"/>
        <w:jc w:val="center"/>
      </w:pPr>
    </w:p>
    <w:p w14:paraId="25A9B955">
      <w:pPr>
        <w:pStyle w:val="59"/>
        <w:numPr>
          <w:ilvl w:val="0"/>
          <w:numId w:val="0"/>
        </w:numPr>
        <w:spacing w:after="468"/>
        <w:ind w:leftChars="0"/>
        <w:jc w:val="center"/>
      </w:pPr>
      <w:r>
        <w:t>DISCUSSION, CONCLUSION AND RECOMMENDATIONS</w:t>
      </w:r>
      <w:bookmarkEnd w:id="140"/>
      <w:bookmarkEnd w:id="141"/>
      <w:bookmarkEnd w:id="142"/>
      <w:bookmarkEnd w:id="143"/>
      <w:bookmarkEnd w:id="144"/>
    </w:p>
    <w:p w14:paraId="44465A49">
      <w:pPr>
        <w:spacing w:before="468" w:after="468"/>
        <w:rPr>
          <w:rFonts w:hint="default" w:ascii="Times New Roman Bold" w:hAnsi="Times New Roman Bold" w:cs="Times New Roman Bold" w:eastAsiaTheme="minorEastAsia"/>
          <w:b/>
          <w:bCs w:val="0"/>
        </w:rPr>
      </w:pPr>
      <w:r>
        <w:rPr>
          <w:rFonts w:hint="default" w:ascii="Times New Roman Bold" w:hAnsi="Times New Roman Bold" w:cs="Times New Roman Bold" w:eastAsiaTheme="minorEastAsia"/>
          <w:b/>
          <w:bCs w:val="0"/>
        </w:rPr>
        <w:t>Discussion of Results</w:t>
      </w:r>
    </w:p>
    <w:p w14:paraId="2D7D0189">
      <w:pPr>
        <w:spacing w:before="468" w:after="468"/>
        <w:rPr>
          <w:rFonts w:cs="Times New Roman" w:eastAsiaTheme="minorEastAsia"/>
        </w:rPr>
      </w:pPr>
      <w:r>
        <w:rPr>
          <w:rFonts w:cs="Times New Roman" w:eastAsiaTheme="minorEastAsia"/>
        </w:rPr>
        <w:t>Using panel data for 13 Asian economies from 2000–2024, this study examines how typhoon intensity affects macroeconomic performance and whether capital formation serves as a transmission channel. Descriptive statistics indicate substantial cross-country and intertemporal variation in typhoon exposure, investment intensity, and macroeconomic outcomes. Correlation analysis shows no severe multicollinearity, supporting the use of fixed-effects estimation.</w:t>
      </w:r>
    </w:p>
    <w:p w14:paraId="2FD796B7">
      <w:pPr>
        <w:spacing w:before="468" w:after="468"/>
        <w:rPr>
          <w:rFonts w:cs="Times New Roman" w:eastAsiaTheme="minorEastAsia"/>
        </w:rPr>
      </w:pPr>
      <w:r>
        <w:rPr>
          <w:rFonts w:cs="Times New Roman" w:eastAsiaTheme="minorEastAsia"/>
        </w:rPr>
        <w:t>Baseline regressions reveal heterogeneous macroeconomic responses to typhoon intensity (TEI_agri). Typhoons are positively associated with GDP growth, agricultural output, and inflation, while no systematic effects are found for unemployment or FDI. The positive short-run association with GDP and agriculture is consistent with reconstruction-driven activity and policy support following disasters. In contrast, the significant increase in inflation reflects supply-side disruptions, including infrastructure damage, reduced agricultural supply, and higher logistics costs.</w:t>
      </w:r>
    </w:p>
    <w:p w14:paraId="70414DAC">
      <w:pPr>
        <w:spacing w:before="468" w:after="468"/>
        <w:rPr>
          <w:rFonts w:cs="Times New Roman" w:eastAsiaTheme="minorEastAsia"/>
        </w:rPr>
      </w:pPr>
      <w:r>
        <w:rPr>
          <w:rFonts w:cs="Times New Roman" w:eastAsiaTheme="minorEastAsia"/>
        </w:rPr>
        <w:t>Model 2 shows that typhoon intensity significantly reduces gross capital formation (GCF). Severe typhoons undermine investment capacity by damaging physical capital, increasing uncertainty, and diverting fiscal resources toward emergency response. Population size emerges as a robust determinant of GCF, highlighting the importance of economic scale in sustaining investment.</w:t>
      </w:r>
    </w:p>
    <w:p w14:paraId="42427302">
      <w:pPr>
        <w:spacing w:before="468" w:after="468"/>
        <w:rPr>
          <w:rFonts w:cs="Times New Roman" w:eastAsiaTheme="minorEastAsia"/>
        </w:rPr>
      </w:pPr>
      <w:r>
        <w:rPr>
          <w:rFonts w:cs="Times New Roman" w:eastAsiaTheme="minorEastAsia"/>
        </w:rPr>
        <w:t>Model 3 incorporates GCF to test mediation. Results suggest that capital formation plays an important role in transmitting typhoon shocks to agricultural output and inflation but not to GDP, unemployment, or FDI. When GCF is included, the effect of typhoon intensity on agricultural output weakens, while GCF shows a significant negative association with agriculture, indicating post-disaster capital reallocation away from agriculture. In the inflation model, typhoon intensity increases prices while GCF dampens inflation, suggesting that investment supports supply recovery and mitigates cost pressures.</w:t>
      </w:r>
    </w:p>
    <w:p w14:paraId="37EF948C">
      <w:pPr>
        <w:spacing w:before="468" w:after="468"/>
        <w:rPr>
          <w:rFonts w:cs="Times New Roman" w:eastAsiaTheme="minorEastAsia"/>
        </w:rPr>
      </w:pPr>
      <w:r>
        <w:rPr>
          <w:rFonts w:cs="Times New Roman" w:eastAsiaTheme="minorEastAsia"/>
        </w:rPr>
        <w:t>For GDP, unemployment, and FDI, mediation effects are limited. This implies that short-term reconstruction spending may dominate GDP responses, while labor markets and foreign investment depend more on structural and institutional factors.</w:t>
      </w:r>
    </w:p>
    <w:p w14:paraId="38D8B7CF">
      <w:pPr>
        <w:spacing w:before="468" w:after="468"/>
        <w:rPr>
          <w:rFonts w:cs="Times New Roman" w:eastAsiaTheme="minorEastAsia"/>
        </w:rPr>
      </w:pPr>
      <w:r>
        <w:rPr>
          <w:rFonts w:cs="Times New Roman" w:eastAsiaTheme="minorEastAsia"/>
        </w:rPr>
        <w:t>Robustness tests—including lagged typhoon intensity, winsorization, and quantile regressions—confirm the qualitative stability of results. Overall, evidence supports a dual-channel mechanism: typhoons affect macro outcomes through direct supply shocks and indirectly through investment contraction.</w:t>
      </w:r>
    </w:p>
    <w:p w14:paraId="6DA11B31">
      <w:pPr>
        <w:spacing w:before="468" w:after="468"/>
        <w:rPr>
          <w:rFonts w:hint="default" w:ascii="Times New Roman Bold" w:hAnsi="Times New Roman Bold" w:cs="Times New Roman Bold" w:eastAsiaTheme="minorEastAsia"/>
          <w:b/>
          <w:bCs w:val="0"/>
        </w:rPr>
      </w:pPr>
      <w:r>
        <w:rPr>
          <w:rFonts w:hint="default" w:ascii="Times New Roman Bold" w:hAnsi="Times New Roman Bold" w:cs="Times New Roman Bold" w:eastAsiaTheme="minorEastAsia"/>
          <w:b/>
          <w:bCs w:val="0"/>
        </w:rPr>
        <w:t>Contribution</w:t>
      </w:r>
    </w:p>
    <w:p w14:paraId="3281DB92">
      <w:pPr>
        <w:spacing w:before="468" w:after="468"/>
        <w:rPr>
          <w:rFonts w:hint="default" w:ascii="Times New Roman Bold" w:hAnsi="Times New Roman Bold" w:cs="Times New Roman Bold" w:eastAsiaTheme="minorEastAsia"/>
          <w:b/>
          <w:bCs w:val="0"/>
        </w:rPr>
      </w:pPr>
      <w:r>
        <w:rPr>
          <w:rFonts w:hint="default" w:ascii="Times New Roman Bold" w:hAnsi="Times New Roman Bold" w:cs="Times New Roman Bold" w:eastAsiaTheme="minorEastAsia"/>
          <w:b/>
          <w:bCs w:val="0"/>
        </w:rPr>
        <w:t>Contribution to the Literature</w:t>
      </w:r>
    </w:p>
    <w:p w14:paraId="2F618993">
      <w:pPr>
        <w:spacing w:before="468" w:after="468"/>
        <w:rPr>
          <w:rFonts w:cs="Times New Roman" w:eastAsiaTheme="minorEastAsia"/>
        </w:rPr>
      </w:pPr>
      <w:r>
        <w:rPr>
          <w:rFonts w:cs="Times New Roman" w:eastAsiaTheme="minorEastAsia"/>
        </w:rPr>
        <w:t>First, it improves disaster measurement. The agricultural-exposure-adjusted typhoon intensity index (TEI_agri) integrates physical hazard intensity with sectoral exposure, moving beyond simple dummy variables or wind-category measures. This enhances cross-country comparability and economic interpretability.</w:t>
      </w:r>
    </w:p>
    <w:p w14:paraId="5C786815">
      <w:pPr>
        <w:spacing w:before="468" w:after="468"/>
        <w:rPr>
          <w:rFonts w:cs="Times New Roman" w:eastAsiaTheme="minorEastAsia"/>
        </w:rPr>
      </w:pPr>
      <w:r>
        <w:rPr>
          <w:rFonts w:cs="Times New Roman" w:eastAsiaTheme="minorEastAsia"/>
        </w:rPr>
        <w:t>Second, it expands the scope of analysis. Using 25 years of panel data across 13 Asian economies, the study jointly examines GDP growth, agricultural output, unemployment, FDI, and inflation. This multidimensional approach provides a more comprehensive understanding of disaster transmission.</w:t>
      </w:r>
    </w:p>
    <w:p w14:paraId="4082E053">
      <w:pPr>
        <w:spacing w:before="468" w:after="468"/>
        <w:rPr>
          <w:rFonts w:cs="Times New Roman" w:eastAsiaTheme="minorEastAsia"/>
        </w:rPr>
      </w:pPr>
      <w:r>
        <w:rPr>
          <w:rFonts w:cs="Times New Roman" w:eastAsiaTheme="minorEastAsia"/>
        </w:rPr>
        <w:t>Third, it explicitly incorporates capital formation as a mediating mechanism. While prior research emphasizes investment in growth theory, few studies empirically test how disasters reshape macro outcomes through changes in capital accumulation. This study shows that typhoons suppress GCF and that this channel matters particularly for agriculture and inflation.</w:t>
      </w:r>
    </w:p>
    <w:p w14:paraId="14CB23AA">
      <w:pPr>
        <w:spacing w:before="468" w:after="468"/>
        <w:rPr>
          <w:rFonts w:cs="Times New Roman" w:eastAsiaTheme="minorEastAsia"/>
        </w:rPr>
      </w:pPr>
      <w:r>
        <w:rPr>
          <w:rFonts w:cs="Times New Roman" w:eastAsiaTheme="minorEastAsia"/>
        </w:rPr>
        <w:t>Fourth, it provides region-specific evidence for high-exposure Asian economies using a unified econometric framework with fixed effects and multiple robustness tests. The findings highlight structural heterogeneity and sectoral sensitivity often overlooked in global averages.</w:t>
      </w:r>
    </w:p>
    <w:p w14:paraId="5974F381">
      <w:pPr>
        <w:spacing w:before="468" w:after="468"/>
        <w:rPr>
          <w:rFonts w:hint="default" w:ascii="Times New Roman Bold" w:hAnsi="Times New Roman Bold" w:cs="Times New Roman Bold" w:eastAsiaTheme="minorEastAsia"/>
          <w:b/>
          <w:bCs w:val="0"/>
        </w:rPr>
      </w:pPr>
      <w:r>
        <w:rPr>
          <w:rFonts w:hint="default" w:ascii="Times New Roman Bold" w:hAnsi="Times New Roman Bold" w:cs="Times New Roman Bold" w:eastAsiaTheme="minorEastAsia"/>
          <w:b/>
          <w:bCs w:val="0"/>
        </w:rPr>
        <w:t>Contribution to Theory</w:t>
      </w:r>
    </w:p>
    <w:p w14:paraId="2DE0BF57">
      <w:pPr>
        <w:spacing w:before="468" w:after="468"/>
        <w:rPr>
          <w:rFonts w:cs="Times New Roman" w:eastAsiaTheme="minorEastAsia"/>
        </w:rPr>
      </w:pPr>
      <w:r>
        <w:rPr>
          <w:rFonts w:cs="Times New Roman" w:eastAsiaTheme="minorEastAsia"/>
        </w:rPr>
        <w:t>Disaster economics. The negative effect of typhoons on capital formation supports the view that disasters weaken capital accumulation. At the same time, the coexistence of short-run GDP increases and declining GCF reconciles “reconstruction rebound” and “long-term scarring” narratives.</w:t>
      </w:r>
    </w:p>
    <w:p w14:paraId="5244C9E3">
      <w:pPr>
        <w:spacing w:before="468" w:after="468"/>
        <w:rPr>
          <w:rFonts w:cs="Times New Roman" w:eastAsiaTheme="minorEastAsia"/>
        </w:rPr>
      </w:pPr>
      <w:r>
        <w:rPr>
          <w:rFonts w:cs="Times New Roman" w:eastAsiaTheme="minorEastAsia"/>
        </w:rPr>
        <w:t>Solow growth model. Results confirm that reduced capital accumulation slows long-run potential growth. However, short-run GDP increases during disaster years reveal temporary decoupling between capital accumulation and measured output, suggesting that disaster-reconstruction dynamics should be incorporated into growth models.</w:t>
      </w:r>
    </w:p>
    <w:p w14:paraId="7B87F30E">
      <w:pPr>
        <w:spacing w:before="468" w:after="468"/>
        <w:rPr>
          <w:rFonts w:cs="Times New Roman" w:eastAsiaTheme="minorEastAsia"/>
        </w:rPr>
      </w:pPr>
      <w:r>
        <w:rPr>
          <w:rFonts w:cs="Times New Roman" w:eastAsiaTheme="minorEastAsia"/>
        </w:rPr>
        <w:t>Capital accumulation theory. GCF plays a key role in shaping agricultural output and inflation. Yet aggregate GCF does not automatically benefit agriculture, indicating structural capital reallocation toward non-agricultural sectors in transforming economies.</w:t>
      </w:r>
    </w:p>
    <w:p w14:paraId="1D1CCB81">
      <w:pPr>
        <w:spacing w:before="468" w:after="468"/>
        <w:rPr>
          <w:rFonts w:cs="Times New Roman" w:eastAsiaTheme="minorEastAsia"/>
        </w:rPr>
      </w:pPr>
      <w:r>
        <w:rPr>
          <w:rFonts w:cs="Times New Roman" w:eastAsiaTheme="minorEastAsia"/>
        </w:rPr>
        <w:t>Supply-shock theory. Typhoons significantly raise inflation, consistent with cost-push mechanisms. GCF reduces inflation, implying that investment acts as a buffer by expanding supply capacity. Thus, inflation under disaster conditions contains both direct supply disruption and indirect investment-mediated components.</w:t>
      </w:r>
    </w:p>
    <w:p w14:paraId="5BE18259">
      <w:pPr>
        <w:spacing w:before="468" w:after="468"/>
        <w:rPr>
          <w:rFonts w:hint="default" w:ascii="Times New Roman Bold" w:hAnsi="Times New Roman Bold" w:cs="Times New Roman Bold" w:eastAsiaTheme="minorEastAsia"/>
          <w:b/>
          <w:bCs w:val="0"/>
        </w:rPr>
      </w:pPr>
      <w:r>
        <w:rPr>
          <w:rFonts w:hint="default" w:ascii="Times New Roman Bold" w:hAnsi="Times New Roman Bold" w:cs="Times New Roman Bold" w:eastAsiaTheme="minorEastAsia"/>
          <w:b/>
          <w:bCs w:val="0"/>
        </w:rPr>
        <w:t>Limitations</w:t>
      </w:r>
    </w:p>
    <w:p w14:paraId="4A307C33">
      <w:pPr>
        <w:spacing w:before="468" w:after="468"/>
        <w:rPr>
          <w:rFonts w:cs="Times New Roman" w:eastAsiaTheme="minorEastAsia"/>
        </w:rPr>
      </w:pPr>
      <w:r>
        <w:rPr>
          <w:rFonts w:cs="Times New Roman" w:eastAsiaTheme="minorEastAsia"/>
        </w:rPr>
        <w:t>First, TEI_agri remains a macro-level composite index and cannot fully capture within-country spatial heterogeneity.</w:t>
      </w:r>
      <w:r>
        <w:rPr>
          <w:rFonts w:hint="eastAsia" w:cs="Times New Roman" w:eastAsiaTheme="minorEastAsia"/>
          <w:lang w:val="en-US" w:eastAsia="zh-CN"/>
        </w:rPr>
        <w:t xml:space="preserve"> </w:t>
      </w:r>
      <w:r>
        <w:rPr>
          <w:rFonts w:cs="Times New Roman" w:eastAsiaTheme="minorEastAsia"/>
        </w:rPr>
        <w:t>Second, annual data may smooth short-run shocks and recovery dynamics.</w:t>
      </w:r>
      <w:r>
        <w:rPr>
          <w:rFonts w:hint="eastAsia" w:cs="Times New Roman" w:eastAsiaTheme="minorEastAsia"/>
          <w:lang w:val="en-US" w:eastAsia="zh-CN"/>
        </w:rPr>
        <w:t xml:space="preserve"> </w:t>
      </w:r>
      <w:r>
        <w:rPr>
          <w:rFonts w:cs="Times New Roman" w:eastAsiaTheme="minorEastAsia"/>
        </w:rPr>
        <w:t>Third, some models exhibit relatively low R² values, reflecting the multifactorial nature of macroeconomic fluctuations.</w:t>
      </w:r>
    </w:p>
    <w:p w14:paraId="5FC7A1D7">
      <w:pPr>
        <w:spacing w:before="468" w:after="468"/>
        <w:rPr>
          <w:rFonts w:cs="Times New Roman" w:eastAsiaTheme="minorEastAsia"/>
        </w:rPr>
      </w:pPr>
      <w:r>
        <w:rPr>
          <w:rFonts w:cs="Times New Roman" w:eastAsiaTheme="minorEastAsia"/>
        </w:rPr>
        <w:t>Fourth, despite fixed effects and robustness checks, time-varying omitted variables and policy responses may still introduce endogeneity concerns.</w:t>
      </w:r>
      <w:r>
        <w:rPr>
          <w:rFonts w:hint="eastAsia" w:cs="Times New Roman" w:eastAsiaTheme="minorEastAsia"/>
          <w:lang w:val="en-US" w:eastAsia="zh-CN"/>
        </w:rPr>
        <w:t xml:space="preserve"> </w:t>
      </w:r>
      <w:r>
        <w:rPr>
          <w:rFonts w:cs="Times New Roman" w:eastAsiaTheme="minorEastAsia"/>
        </w:rPr>
        <w:t>Fifth, GCF is an aggregate measure and does not distinguish between public/private or reconstruction/productive investment.</w:t>
      </w:r>
      <w:r>
        <w:rPr>
          <w:rFonts w:hint="eastAsia" w:cs="Times New Roman" w:eastAsiaTheme="minorEastAsia"/>
          <w:lang w:val="en-US" w:eastAsia="zh-CN"/>
        </w:rPr>
        <w:t xml:space="preserve"> </w:t>
      </w:r>
      <w:r>
        <w:rPr>
          <w:rFonts w:cs="Times New Roman" w:eastAsiaTheme="minorEastAsia"/>
        </w:rPr>
        <w:t>Sixth, findings are limited to 13 Asian economies and may not generalize globally.</w:t>
      </w:r>
      <w:r>
        <w:rPr>
          <w:rFonts w:hint="eastAsia" w:cs="Times New Roman" w:eastAsiaTheme="minorEastAsia"/>
          <w:lang w:val="en-US" w:eastAsia="zh-CN"/>
        </w:rPr>
        <w:t xml:space="preserve"> </w:t>
      </w:r>
      <w:r>
        <w:rPr>
          <w:rFonts w:cs="Times New Roman" w:eastAsiaTheme="minorEastAsia"/>
        </w:rPr>
        <w:t>Seventh, unemployment and FDI results are not robust across specifications, indicating structural complexity.</w:t>
      </w:r>
      <w:r>
        <w:rPr>
          <w:rFonts w:hint="eastAsia" w:cs="Times New Roman" w:eastAsiaTheme="minorEastAsia"/>
          <w:lang w:val="en-US" w:eastAsia="zh-CN"/>
        </w:rPr>
        <w:t xml:space="preserve"> </w:t>
      </w:r>
      <w:r>
        <w:rPr>
          <w:rFonts w:cs="Times New Roman" w:eastAsiaTheme="minorEastAsia"/>
        </w:rPr>
        <w:t>Eighth, the framework assumes linear effects and does not fully capture threshold or cumulative disaster dynamics.</w:t>
      </w:r>
    </w:p>
    <w:p w14:paraId="5EA22430">
      <w:pPr>
        <w:spacing w:before="468" w:after="468"/>
        <w:rPr>
          <w:rFonts w:hint="default" w:ascii="Times New Roman Bold" w:hAnsi="Times New Roman Bold" w:cs="Times New Roman Bold" w:eastAsiaTheme="minorEastAsia"/>
          <w:b/>
          <w:bCs w:val="0"/>
        </w:rPr>
      </w:pPr>
      <w:r>
        <w:rPr>
          <w:rFonts w:hint="default" w:ascii="Times New Roman Bold" w:hAnsi="Times New Roman Bold" w:cs="Times New Roman Bold" w:eastAsiaTheme="minorEastAsia"/>
          <w:b/>
          <w:bCs w:val="0"/>
        </w:rPr>
        <w:t>Directions for Future Research</w:t>
      </w:r>
    </w:p>
    <w:p w14:paraId="24006751">
      <w:pPr>
        <w:spacing w:before="468" w:after="468"/>
        <w:rPr>
          <w:rFonts w:hint="eastAsia" w:cs="Times New Roman" w:eastAsiaTheme="minorEastAsia"/>
        </w:rPr>
      </w:pPr>
      <w:r>
        <w:rPr>
          <w:rFonts w:hint="eastAsia" w:cs="Times New Roman" w:eastAsiaTheme="minorEastAsia"/>
        </w:rPr>
        <w:t>Future research can further expand upon this study in several aspects: Firstly, higher-frequency data (such as quarterly or monthly data) can be adopted to better depict the dynamic adjustment process of economic variables, and more detailed spatial data can be combined to measure regional heterogeneity. Secondly, the disaster indicators can be more precisely constructed based on the "disaster - exposure - vulnerability" framework, and more powerful causal inference methods (such as instrumental variable method, difference-in-differences method, and synthetic control method) can be introduced to enhance the reliability of the empirical results. Additionally, future research can conduct a more detailed decomposition of capital formation (such as distinguishing between public and private investment and different industry compositions), and examine the non-linear and cumulative effects of disaster shocks. In terms of sample scope, it can be expanded to other regions with high typhoon occurrences, and adaptability and risk mitigation policies can be incorporated into the empirical model to more comprehensively assess their economic impacts.</w:t>
      </w:r>
    </w:p>
    <w:p w14:paraId="2C6E9289">
      <w:pPr>
        <w:spacing w:before="468" w:after="468"/>
        <w:rPr>
          <w:rFonts w:hint="default" w:ascii="Times New Roman Bold" w:hAnsi="Times New Roman Bold" w:cs="Times New Roman Bold" w:eastAsiaTheme="minorEastAsia"/>
          <w:b/>
          <w:bCs w:val="0"/>
          <w:lang w:val="en-US"/>
        </w:rPr>
      </w:pPr>
      <w:r>
        <w:rPr>
          <w:rFonts w:hint="default" w:ascii="Times New Roman Bold" w:hAnsi="Times New Roman Bold" w:cs="Times New Roman Bold" w:eastAsiaTheme="minorEastAsia"/>
          <w:b/>
          <w:bCs w:val="0"/>
          <w:lang w:val="en-US"/>
        </w:rPr>
        <w:t>Co</w:t>
      </w:r>
      <w:bookmarkStart w:id="146" w:name="_GoBack"/>
      <w:bookmarkEnd w:id="146"/>
      <w:r>
        <w:rPr>
          <w:rFonts w:hint="default" w:ascii="Times New Roman Bold" w:hAnsi="Times New Roman Bold" w:cs="Times New Roman Bold" w:eastAsiaTheme="minorEastAsia"/>
          <w:b/>
          <w:bCs w:val="0"/>
          <w:lang w:val="en-US"/>
        </w:rPr>
        <w:t>nclusion</w:t>
      </w:r>
    </w:p>
    <w:p w14:paraId="6CB11C96">
      <w:pPr>
        <w:spacing w:before="468" w:after="468"/>
        <w:rPr>
          <w:rFonts w:hint="default" w:ascii="Times New Roman" w:hAnsi="Times New Roman" w:cs="Times New Roman" w:eastAsiaTheme="minorEastAsia"/>
          <w:b w:val="0"/>
          <w:bCs/>
          <w:lang w:val="en-US"/>
        </w:rPr>
      </w:pPr>
      <w:r>
        <w:rPr>
          <w:rFonts w:hint="default" w:ascii="Times New Roman" w:hAnsi="Times New Roman" w:cs="Times New Roman" w:eastAsiaTheme="minorEastAsia"/>
          <w:b w:val="0"/>
          <w:bCs/>
          <w:lang w:val="en-US"/>
        </w:rPr>
        <w:t>This study shows that the intensity of the typhoon significantly affects the macroeconomic performance of Asian economies through direct supply shocks and indirect investment channels. Although post-disaster reconstruction may promote GDP and agricultural recovery in the short term, typhoons have a continuous inhibitory effect on capital formation and further affect long-term results such as inflation and agricultural performance. The results of the study emphasize the importance of improving investment resilience, showing that strengthening capital formation, protecting productive assets and stabilizing the post-disaster investment environment are crucial to improving the economic resilience of high-risk areas of typhoons.</w:t>
      </w:r>
    </w:p>
    <w:p w14:paraId="6DE58EF5">
      <w:pPr>
        <w:spacing w:before="468" w:after="468"/>
        <w:rPr>
          <w:rFonts w:cs="Times New Roman" w:eastAsiaTheme="minorEastAsia"/>
        </w:rPr>
      </w:pPr>
    </w:p>
    <w:p w14:paraId="1AAA3D2D">
      <w:pPr>
        <w:widowControl/>
        <w:spacing w:before="468" w:after="468" w:line="240" w:lineRule="auto"/>
        <w:jc w:val="left"/>
        <w:rPr>
          <w:rFonts w:eastAsia="宋体" w:cs="Times New Roman"/>
          <w:bCs w:val="0"/>
          <w:spacing w:val="-2"/>
        </w:rPr>
      </w:pPr>
      <w:r>
        <w:rPr>
          <w:rFonts w:eastAsia="宋体" w:cs="Times New Roman"/>
          <w:bCs w:val="0"/>
          <w:spacing w:val="-2"/>
        </w:rPr>
        <w:br w:type="page"/>
      </w:r>
    </w:p>
    <w:p w14:paraId="0FF997AE">
      <w:pPr>
        <w:pStyle w:val="46"/>
        <w:spacing w:before="468" w:after="468" w:afterLines="150" w:line="480" w:lineRule="auto"/>
        <w:rPr>
          <w:rFonts w:cs="Times New Roman"/>
        </w:rPr>
      </w:pPr>
      <w:bookmarkStart w:id="145" w:name="_Toc216969556"/>
      <w:r>
        <w:rPr>
          <w:rFonts w:cs="Times New Roman" w:eastAsiaTheme="minorEastAsia"/>
        </w:rPr>
        <w:t>REFERENCES</w:t>
      </w:r>
      <w:bookmarkEnd w:id="145"/>
      <w:r>
        <w:rPr>
          <w:rFonts w:cs="Times New Roman"/>
        </w:rPr>
        <w:t xml:space="preserve"> </w:t>
      </w:r>
    </w:p>
    <w:p w14:paraId="753CA7C1">
      <w:pPr>
        <w:widowControl/>
        <w:autoSpaceDE w:val="0"/>
        <w:autoSpaceDN w:val="0"/>
        <w:spacing w:after="624" w:afterLines="200" w:line="240" w:lineRule="auto"/>
        <w:ind w:hanging="480"/>
        <w:rPr>
          <w:kern w:val="0"/>
        </w:rPr>
      </w:pPr>
      <w:r>
        <w:t xml:space="preserve">Abidin, I. S. Z., Haseeb, M., &amp; slam, R. (2022). Impact of Agricultural Irrigated Land and Raw Material Import, Labor Force and Capital Formation on Rice Production: Evidence from the Malaysian Economy. </w:t>
      </w:r>
      <w:r>
        <w:rPr>
          <w:i/>
          <w:iCs/>
        </w:rPr>
        <w:t>Journal of Asian Finance, Economics and Business</w:t>
      </w:r>
      <w:r>
        <w:t xml:space="preserve">, </w:t>
      </w:r>
      <w:r>
        <w:rPr>
          <w:i/>
          <w:iCs/>
        </w:rPr>
        <w:t>45</w:t>
      </w:r>
      <w:r>
        <w:t>(127).</w:t>
      </w:r>
    </w:p>
    <w:p w14:paraId="1C65F148">
      <w:pPr>
        <w:autoSpaceDE w:val="0"/>
        <w:autoSpaceDN w:val="0"/>
        <w:spacing w:after="624" w:afterLines="200" w:line="240" w:lineRule="auto"/>
        <w:ind w:hanging="480"/>
      </w:pPr>
      <w:r>
        <w:t xml:space="preserve">Anik, A., Rahman, S., &amp; Sarker, J. (2017). Agricultural Productivity Growth and the Role of Capital in South Asia (1980–2013). </w:t>
      </w:r>
      <w:r>
        <w:rPr>
          <w:i/>
          <w:iCs/>
        </w:rPr>
        <w:t>Sustainability</w:t>
      </w:r>
      <w:r>
        <w:t xml:space="preserve">, </w:t>
      </w:r>
      <w:r>
        <w:rPr>
          <w:i/>
          <w:iCs/>
        </w:rPr>
        <w:t>9</w:t>
      </w:r>
      <w:r>
        <w:t>(3), 470. https://doi.org/10.3390/su9030470</w:t>
      </w:r>
    </w:p>
    <w:p w14:paraId="0DE62456">
      <w:pPr>
        <w:autoSpaceDE w:val="0"/>
        <w:autoSpaceDN w:val="0"/>
        <w:spacing w:after="624" w:afterLines="200" w:line="240" w:lineRule="auto"/>
        <w:ind w:hanging="480"/>
      </w:pPr>
      <w:r>
        <w:t xml:space="preserve">Arias, J., Duenwald, C., Gamboa-Estrada, C., &amp; Kwon, H. (2024). </w:t>
      </w:r>
      <w:r>
        <w:rPr>
          <w:i/>
          <w:iCs/>
        </w:rPr>
        <w:t>Climate Shocks and Macroeconomic Resilience in Asia</w:t>
      </w:r>
      <w:r>
        <w:t>.</w:t>
      </w:r>
    </w:p>
    <w:p w14:paraId="6E826090">
      <w:pPr>
        <w:autoSpaceDE w:val="0"/>
        <w:autoSpaceDN w:val="0"/>
        <w:spacing w:after="624" w:afterLines="200" w:line="240" w:lineRule="auto"/>
        <w:ind w:hanging="480"/>
      </w:pPr>
      <w:r>
        <w:t xml:space="preserve">Bakkensen, L. A., &amp; Mendelsohn, R. O. (2016). Risk and Adaptation: Evidence from Global Hurricane Damages and Fatalities. </w:t>
      </w:r>
      <w:r>
        <w:rPr>
          <w:i/>
          <w:iCs/>
        </w:rPr>
        <w:t>Journal of the Association of Environmental and Resource Economists</w:t>
      </w:r>
      <w:r>
        <w:t xml:space="preserve">, </w:t>
      </w:r>
      <w:r>
        <w:rPr>
          <w:i/>
          <w:iCs/>
        </w:rPr>
        <w:t>3</w:t>
      </w:r>
      <w:r>
        <w:t>(3), 555–587. https://doi.org/10.1086/685908</w:t>
      </w:r>
    </w:p>
    <w:p w14:paraId="1ABF7651">
      <w:pPr>
        <w:autoSpaceDE w:val="0"/>
        <w:autoSpaceDN w:val="0"/>
        <w:spacing w:after="624" w:afterLines="200" w:line="240" w:lineRule="auto"/>
        <w:ind w:hanging="480"/>
      </w:pPr>
      <w:r>
        <w:t xml:space="preserve">Bank, A. Development. (2022). </w:t>
      </w:r>
      <w:r>
        <w:rPr>
          <w:i/>
          <w:iCs/>
        </w:rPr>
        <w:t>Asian Development Outlook 2022  : Mobilizing Taxes for Development</w:t>
      </w:r>
      <w:r>
        <w:t>. Asian Development Bank Institute.</w:t>
      </w:r>
    </w:p>
    <w:p w14:paraId="3E2ABA99">
      <w:pPr>
        <w:autoSpaceDE w:val="0"/>
        <w:autoSpaceDN w:val="0"/>
        <w:spacing w:after="624" w:afterLines="200" w:line="240" w:lineRule="auto"/>
        <w:ind w:hanging="480"/>
      </w:pPr>
      <w:r>
        <w:t xml:space="preserve">BarrÈre, A. (1961). Capital Intensity and the Combination of Factors of Production. In </w:t>
      </w:r>
      <w:r>
        <w:rPr>
          <w:i/>
          <w:iCs/>
        </w:rPr>
        <w:t>The Theory of Capital</w:t>
      </w:r>
      <w:r>
        <w:t xml:space="preserve"> (pp. 143–160). Palgrave Macmillan UK. https://doi.org/10.1007/978-1-349-08452-4_8</w:t>
      </w:r>
    </w:p>
    <w:p w14:paraId="652B90EF">
      <w:pPr>
        <w:autoSpaceDE w:val="0"/>
        <w:autoSpaceDN w:val="0"/>
        <w:spacing w:after="624" w:afterLines="200" w:line="240" w:lineRule="auto"/>
        <w:ind w:hanging="480"/>
      </w:pPr>
      <w:r>
        <w:t xml:space="preserve">Bernanke, B., &amp; Gurkaynak, R. (2001). </w:t>
      </w:r>
      <w:r>
        <w:rPr>
          <w:i/>
          <w:iCs/>
        </w:rPr>
        <w:t>Is Growth Exogenous? Taking Mankiw, Romer and Weil Seriously</w:t>
      </w:r>
      <w:r>
        <w:t>. https://doi.org/10.3386/w8365</w:t>
      </w:r>
    </w:p>
    <w:p w14:paraId="53640B85">
      <w:pPr>
        <w:autoSpaceDE w:val="0"/>
        <w:autoSpaceDN w:val="0"/>
        <w:spacing w:after="624" w:afterLines="200" w:line="240" w:lineRule="auto"/>
        <w:ind w:hanging="480"/>
      </w:pPr>
      <w:r>
        <w:t xml:space="preserve">Bhowmik, R. C., Islam, S., Roy, S. K., Hridoy, Md. A. A. M., Yeamin, Md. B., Hoque, Md. A., Hasan, M., &amp; Roshid, Md. M. (2025). The Role of Hydropower, Clean Energy, Renewable Energy, FDI, and Capital Formation in Affecting CO </w:t>
      </w:r>
      <w:r>
        <w:rPr>
          <w:vertAlign w:val="subscript"/>
        </w:rPr>
        <w:t>2</w:t>
      </w:r>
      <w:r>
        <w:t xml:space="preserve"> Emissions and Environmental Sustainability in South Asia. </w:t>
      </w:r>
      <w:r>
        <w:rPr>
          <w:i/>
          <w:iCs/>
        </w:rPr>
        <w:t>Environment, Innovation and Management</w:t>
      </w:r>
      <w:r>
        <w:t xml:space="preserve">, </w:t>
      </w:r>
      <w:r>
        <w:rPr>
          <w:i/>
          <w:iCs/>
        </w:rPr>
        <w:t>01</w:t>
      </w:r>
      <w:r>
        <w:t>. https://doi.org/10.1142/S3060901125500218</w:t>
      </w:r>
    </w:p>
    <w:p w14:paraId="621CEFBF">
      <w:pPr>
        <w:autoSpaceDE w:val="0"/>
        <w:autoSpaceDN w:val="0"/>
        <w:spacing w:after="624" w:afterLines="200" w:line="240" w:lineRule="auto"/>
        <w:ind w:hanging="480"/>
      </w:pPr>
      <w:r>
        <w:t xml:space="preserve">Blanchard, O., &amp; Gali, J. (2007). </w:t>
      </w:r>
      <w:r>
        <w:rPr>
          <w:i/>
          <w:iCs/>
        </w:rPr>
        <w:t>The Macroeconomic Effects of Oil Shocks: Why are the 2000s So Different from the 1970s?</w:t>
      </w:r>
      <w:r>
        <w:t xml:space="preserve"> https://doi.org/10.3386/w13368</w:t>
      </w:r>
    </w:p>
    <w:p w14:paraId="0B266E8C">
      <w:pPr>
        <w:autoSpaceDE w:val="0"/>
        <w:autoSpaceDN w:val="0"/>
        <w:spacing w:after="624" w:afterLines="200" w:line="240" w:lineRule="auto"/>
        <w:ind w:hanging="480"/>
      </w:pPr>
      <w:r>
        <w:t xml:space="preserve">Blomstrom, M., Lipsey, R. E., &amp; Zejan, M. (1996). Is Fixed Investment the Key to Economic Growth? </w:t>
      </w:r>
      <w:r>
        <w:rPr>
          <w:i/>
          <w:iCs/>
        </w:rPr>
        <w:t>The Quarterly Journal of Economics</w:t>
      </w:r>
      <w:r>
        <w:t xml:space="preserve">, </w:t>
      </w:r>
      <w:r>
        <w:rPr>
          <w:i/>
          <w:iCs/>
        </w:rPr>
        <w:t>111</w:t>
      </w:r>
      <w:r>
        <w:t>(1), 269–276. https://doi.org/10.2307/2946665</w:t>
      </w:r>
    </w:p>
    <w:p w14:paraId="5C6BA382">
      <w:pPr>
        <w:autoSpaceDE w:val="0"/>
        <w:autoSpaceDN w:val="0"/>
        <w:spacing w:after="624" w:afterLines="200" w:line="240" w:lineRule="auto"/>
        <w:ind w:hanging="480"/>
      </w:pPr>
      <w:r>
        <w:t xml:space="preserve">Cantelmo, A., Melina, G., &amp; Papageorgiou, C. (2023). Macroeconomic outcomes in disaster-prone countries. </w:t>
      </w:r>
      <w:r>
        <w:rPr>
          <w:i/>
          <w:iCs/>
        </w:rPr>
        <w:t>Journal of Development Economics</w:t>
      </w:r>
      <w:r>
        <w:t xml:space="preserve">, </w:t>
      </w:r>
      <w:r>
        <w:rPr>
          <w:i/>
          <w:iCs/>
        </w:rPr>
        <w:t>161</w:t>
      </w:r>
      <w:r>
        <w:t>, 103037. https://doi.org/10.1016/j.jdeveco.2022.103037</w:t>
      </w:r>
    </w:p>
    <w:p w14:paraId="286CAA57">
      <w:pPr>
        <w:autoSpaceDE w:val="0"/>
        <w:autoSpaceDN w:val="0"/>
        <w:spacing w:after="624" w:afterLines="200" w:line="240" w:lineRule="auto"/>
        <w:ind w:hanging="480"/>
      </w:pPr>
      <w:r>
        <w:t xml:space="preserve">Cavallo, E. (2011). Natural Disasters and the Economy — A Survey. </w:t>
      </w:r>
      <w:r>
        <w:rPr>
          <w:i/>
          <w:iCs/>
        </w:rPr>
        <w:t>International Review of Environmental and Resource Economics</w:t>
      </w:r>
      <w:r>
        <w:t xml:space="preserve">, </w:t>
      </w:r>
      <w:r>
        <w:rPr>
          <w:i/>
          <w:iCs/>
        </w:rPr>
        <w:t>5</w:t>
      </w:r>
      <w:r>
        <w:t>(1), 63–102. https://doi.org/10.1561/101.00000039</w:t>
      </w:r>
    </w:p>
    <w:p w14:paraId="6BCF8599">
      <w:pPr>
        <w:autoSpaceDE w:val="0"/>
        <w:autoSpaceDN w:val="0"/>
        <w:spacing w:after="624" w:afterLines="200" w:line="240" w:lineRule="auto"/>
        <w:ind w:hanging="480"/>
      </w:pPr>
      <w:r>
        <w:t xml:space="preserve">Cavallo, E., Galiani, S., Noy, I., &amp; Pantano, J. (2013). Catastrophic Natural Disasters and Economic Growth. </w:t>
      </w:r>
      <w:r>
        <w:rPr>
          <w:i/>
          <w:iCs/>
        </w:rPr>
        <w:t>The Review of Economics and Statistics</w:t>
      </w:r>
      <w:r>
        <w:t xml:space="preserve">, </w:t>
      </w:r>
      <w:r>
        <w:rPr>
          <w:i/>
          <w:iCs/>
        </w:rPr>
        <w:t>95</w:t>
      </w:r>
      <w:r>
        <w:t>(5), 1549–1561. https://doi.org/10.1162/REST_a_00413</w:t>
      </w:r>
    </w:p>
    <w:p w14:paraId="13452F0D">
      <w:pPr>
        <w:autoSpaceDE w:val="0"/>
        <w:autoSpaceDN w:val="0"/>
        <w:spacing w:after="624" w:afterLines="200" w:line="240" w:lineRule="auto"/>
        <w:ind w:hanging="480"/>
      </w:pPr>
      <w:r>
        <w:t xml:space="preserve">Cevik, S., &amp; Jalles, J. (2024). Eye of the Storm: The Impact of Climate Shocks on Inflation and Growth. </w:t>
      </w:r>
      <w:r>
        <w:rPr>
          <w:i/>
          <w:iCs/>
        </w:rPr>
        <w:t>Review of Economics</w:t>
      </w:r>
      <w:r>
        <w:t xml:space="preserve">, </w:t>
      </w:r>
      <w:r>
        <w:rPr>
          <w:i/>
          <w:iCs/>
        </w:rPr>
        <w:t>75</w:t>
      </w:r>
      <w:r>
        <w:t>(2), 109–138. https://doi.org/10.1515/roe-2024-0005</w:t>
      </w:r>
    </w:p>
    <w:p w14:paraId="34EC1CD6">
      <w:pPr>
        <w:autoSpaceDE w:val="0"/>
        <w:autoSpaceDN w:val="0"/>
        <w:spacing w:after="624" w:afterLines="200" w:line="240" w:lineRule="auto"/>
        <w:ind w:hanging="480"/>
      </w:pPr>
      <w:r>
        <w:t xml:space="preserve">Dey, S. (2022). Capital Formation and Three Major Sectorial Female Employments in Six South Asian Countries. </w:t>
      </w:r>
      <w:r>
        <w:rPr>
          <w:i/>
          <w:iCs/>
        </w:rPr>
        <w:t>Economic Insights – Trends and Challenges</w:t>
      </w:r>
      <w:r>
        <w:t xml:space="preserve">, </w:t>
      </w:r>
      <w:r>
        <w:rPr>
          <w:i/>
          <w:iCs/>
        </w:rPr>
        <w:t>2022</w:t>
      </w:r>
      <w:r>
        <w:t>(2), 57–66. https://doi.org/10.51865/EITC.2022.02.04</w:t>
      </w:r>
    </w:p>
    <w:p w14:paraId="66EEA61A">
      <w:pPr>
        <w:autoSpaceDE w:val="0"/>
        <w:autoSpaceDN w:val="0"/>
        <w:spacing w:after="624" w:afterLines="200" w:line="240" w:lineRule="auto"/>
        <w:ind w:hanging="480"/>
      </w:pPr>
      <w:r>
        <w:t xml:space="preserve">Fan, S., Hazell, P., &amp; Thorat, S. (2000). Government Spending, Growth and Poverty in Rural India. </w:t>
      </w:r>
      <w:r>
        <w:rPr>
          <w:i/>
          <w:iCs/>
        </w:rPr>
        <w:t>American Journal of Agricultural Economics</w:t>
      </w:r>
      <w:r>
        <w:t xml:space="preserve">, </w:t>
      </w:r>
      <w:r>
        <w:rPr>
          <w:i/>
          <w:iCs/>
        </w:rPr>
        <w:t>82</w:t>
      </w:r>
      <w:r>
        <w:t>(4), 1038–1051. https://doi.org/10.1111/0002-9092.00101</w:t>
      </w:r>
    </w:p>
    <w:p w14:paraId="6C671C58">
      <w:pPr>
        <w:autoSpaceDE w:val="0"/>
        <w:autoSpaceDN w:val="0"/>
        <w:spacing w:after="624" w:afterLines="200" w:line="240" w:lineRule="auto"/>
        <w:ind w:hanging="480"/>
      </w:pPr>
      <w:r>
        <w:t xml:space="preserve">Felbermayr, G., &amp; Gröschl, J. (2014). Naturally negative: The growth effects of natural disasters. </w:t>
      </w:r>
      <w:r>
        <w:rPr>
          <w:i/>
          <w:iCs/>
        </w:rPr>
        <w:t>Journal of Development Economics</w:t>
      </w:r>
      <w:r>
        <w:t xml:space="preserve">, </w:t>
      </w:r>
      <w:r>
        <w:rPr>
          <w:i/>
          <w:iCs/>
        </w:rPr>
        <w:t>111</w:t>
      </w:r>
      <w:r>
        <w:t>, 92–106. https://doi.org/10.1016/j.jdeveco.2014.07.004</w:t>
      </w:r>
    </w:p>
    <w:p w14:paraId="4AB74132">
      <w:pPr>
        <w:autoSpaceDE w:val="0"/>
        <w:autoSpaceDN w:val="0"/>
        <w:spacing w:after="624" w:afterLines="200" w:line="240" w:lineRule="auto"/>
        <w:ind w:hanging="480"/>
      </w:pPr>
      <w:r>
        <w:t xml:space="preserve">Feldstein, M. S. . (1983). </w:t>
      </w:r>
      <w:r>
        <w:rPr>
          <w:i/>
          <w:iCs/>
        </w:rPr>
        <w:t>Inflation, tax rules, and capital formation</w:t>
      </w:r>
      <w:r>
        <w:t>. University of Chicago Press.</w:t>
      </w:r>
    </w:p>
    <w:p w14:paraId="734D0449">
      <w:pPr>
        <w:autoSpaceDE w:val="0"/>
        <w:autoSpaceDN w:val="0"/>
        <w:spacing w:after="624" w:afterLines="200" w:line="240" w:lineRule="auto"/>
        <w:ind w:hanging="480"/>
      </w:pPr>
      <w:r>
        <w:t xml:space="preserve">Fomby, T., Ikeda, Y., &amp; Loayza, N. V. (2013). THE GROWTH AFTERMATH OF NATURAL DISASTERS. </w:t>
      </w:r>
      <w:r>
        <w:rPr>
          <w:i/>
          <w:iCs/>
        </w:rPr>
        <w:t>Journal of Applied Econometrics</w:t>
      </w:r>
      <w:r>
        <w:t xml:space="preserve">, </w:t>
      </w:r>
      <w:r>
        <w:rPr>
          <w:i/>
          <w:iCs/>
        </w:rPr>
        <w:t>28</w:t>
      </w:r>
      <w:r>
        <w:t>(3), 412–434. https://doi.org/10.1002/jae.1273</w:t>
      </w:r>
    </w:p>
    <w:p w14:paraId="6CAA5EA6">
      <w:pPr>
        <w:autoSpaceDE w:val="0"/>
        <w:autoSpaceDN w:val="0"/>
        <w:spacing w:after="624" w:afterLines="200" w:line="240" w:lineRule="auto"/>
        <w:ind w:hanging="480"/>
      </w:pPr>
      <w:r>
        <w:t xml:space="preserve">Garner, A. J., Samanta, D., Weaver, M. M., &amp; Horton, B. P. (2024). Changes to tropical cyclone trajectories in Southeast Asia under a warming climate. </w:t>
      </w:r>
      <w:r>
        <w:rPr>
          <w:i/>
          <w:iCs/>
        </w:rPr>
        <w:t>Npj Climate and Atmospheric Science</w:t>
      </w:r>
      <w:r>
        <w:t xml:space="preserve">, </w:t>
      </w:r>
      <w:r>
        <w:rPr>
          <w:i/>
          <w:iCs/>
        </w:rPr>
        <w:t>7</w:t>
      </w:r>
      <w:r>
        <w:t>(1), 156. https://doi.org/10.1038/s41612-024-00707-0</w:t>
      </w:r>
    </w:p>
    <w:p w14:paraId="5EFE095A">
      <w:pPr>
        <w:autoSpaceDE w:val="0"/>
        <w:autoSpaceDN w:val="0"/>
        <w:spacing w:after="624" w:afterLines="200" w:line="240" w:lineRule="auto"/>
        <w:ind w:hanging="480"/>
      </w:pPr>
      <w:r>
        <w:t xml:space="preserve">Guo, G., Yin, J., Liu, L., &amp; Wu, S. (2024). Quantitative Assessment of Typhoon Disaster Risk at County Level. </w:t>
      </w:r>
      <w:r>
        <w:rPr>
          <w:i/>
          <w:iCs/>
        </w:rPr>
        <w:t>Journal of Marine Science and Engineering</w:t>
      </w:r>
      <w:r>
        <w:t xml:space="preserve">, </w:t>
      </w:r>
      <w:r>
        <w:rPr>
          <w:i/>
          <w:iCs/>
        </w:rPr>
        <w:t>12</w:t>
      </w:r>
      <w:r>
        <w:t>(9). https://doi.org/10.3390/jmse12091544</w:t>
      </w:r>
    </w:p>
    <w:p w14:paraId="52B9B60F">
      <w:pPr>
        <w:autoSpaceDE w:val="0"/>
        <w:autoSpaceDN w:val="0"/>
        <w:spacing w:after="624" w:afterLines="200" w:line="240" w:lineRule="auto"/>
        <w:ind w:hanging="480"/>
      </w:pPr>
      <w:r>
        <w:t xml:space="preserve">Hai, D. H., Nam, V. Q., Samadhiya, A., Kumar, A., Gupta, S., &amp; Jagtap, S. (2024). Unravelling the economic impact of climate change in Vietnam’s Mekong River Delta and Southeast region. </w:t>
      </w:r>
      <w:r>
        <w:rPr>
          <w:i/>
          <w:iCs/>
        </w:rPr>
        <w:t>Discover Sustainability</w:t>
      </w:r>
      <w:r>
        <w:t xml:space="preserve">, </w:t>
      </w:r>
      <w:r>
        <w:rPr>
          <w:i/>
          <w:iCs/>
        </w:rPr>
        <w:t>5</w:t>
      </w:r>
      <w:r>
        <w:t>(1). https://doi.org/10.1007/s43621-024-00323-1</w:t>
      </w:r>
    </w:p>
    <w:p w14:paraId="398A3AA9">
      <w:pPr>
        <w:autoSpaceDE w:val="0"/>
        <w:autoSpaceDN w:val="0"/>
        <w:spacing w:after="624" w:afterLines="200" w:line="240" w:lineRule="auto"/>
        <w:ind w:hanging="480"/>
      </w:pPr>
      <w:r>
        <w:t xml:space="preserve">Hallegatte, S., Jooste, C., &amp; McIsaac, F. (2024). Modeling the macroeconomic consequences of natural disasters: Capital stock, recovery dynamics, and monetary policy. </w:t>
      </w:r>
      <w:r>
        <w:rPr>
          <w:i/>
          <w:iCs/>
        </w:rPr>
        <w:t>Economic Modelling</w:t>
      </w:r>
      <w:r>
        <w:t xml:space="preserve">, </w:t>
      </w:r>
      <w:r>
        <w:rPr>
          <w:i/>
          <w:iCs/>
        </w:rPr>
        <w:t>139</w:t>
      </w:r>
      <w:r>
        <w:t>, 106787. https://doi.org/10.1016/J.ECONMOD.2024.106787</w:t>
      </w:r>
    </w:p>
    <w:p w14:paraId="22C2350F">
      <w:pPr>
        <w:autoSpaceDE w:val="0"/>
        <w:autoSpaceDN w:val="0"/>
        <w:spacing w:after="624" w:afterLines="200" w:line="240" w:lineRule="auto"/>
        <w:ind w:hanging="480"/>
      </w:pPr>
      <w:r>
        <w:t xml:space="preserve">Hsiang, S., &amp; Jina, A. (2014). </w:t>
      </w:r>
      <w:r>
        <w:rPr>
          <w:i/>
          <w:iCs/>
        </w:rPr>
        <w:t>The Causal Effect of Environmental Catastrophe on Long-Run Economic Growth: Evidence From 6,700 Cyclones</w:t>
      </w:r>
      <w:r>
        <w:t>. https://doi.org/10.3386/w20352</w:t>
      </w:r>
    </w:p>
    <w:p w14:paraId="0F7A392C">
      <w:pPr>
        <w:autoSpaceDE w:val="0"/>
        <w:autoSpaceDN w:val="0"/>
        <w:spacing w:after="624" w:afterLines="200" w:line="240" w:lineRule="auto"/>
        <w:ind w:hanging="480"/>
      </w:pPr>
      <w:r>
        <w:t xml:space="preserve">Hu, K., Wang, R., Xu, J., Constantinescu, C., Chen, Y., &amp; Ling, C. (2024). Extreme analysis of typhoons disaster in mainland China with insurance management. </w:t>
      </w:r>
      <w:r>
        <w:rPr>
          <w:i/>
          <w:iCs/>
        </w:rPr>
        <w:t>International Journal of Disaster Risk Reduction</w:t>
      </w:r>
      <w:r>
        <w:t xml:space="preserve">, </w:t>
      </w:r>
      <w:r>
        <w:rPr>
          <w:i/>
          <w:iCs/>
        </w:rPr>
        <w:t>106</w:t>
      </w:r>
      <w:r>
        <w:t>. https://doi.org/10.1016/j.ijdrr.2024.104411</w:t>
      </w:r>
    </w:p>
    <w:p w14:paraId="3B313F4E">
      <w:pPr>
        <w:autoSpaceDE w:val="0"/>
        <w:autoSpaceDN w:val="0"/>
        <w:spacing w:after="624" w:afterLines="200" w:line="240" w:lineRule="auto"/>
        <w:ind w:hanging="480"/>
      </w:pPr>
      <w:r>
        <w:t xml:space="preserve">Kaldor, N. (1961). Capital Accumulation and Economic Growth. In </w:t>
      </w:r>
      <w:r>
        <w:rPr>
          <w:i/>
          <w:iCs/>
        </w:rPr>
        <w:t>The Theory of Capital</w:t>
      </w:r>
      <w:r>
        <w:t xml:space="preserve"> (pp. 177–222). Palgrave Macmillan UK. https://doi.org/10.1007/978-1-349-08452-4_10</w:t>
      </w:r>
    </w:p>
    <w:p w14:paraId="6A17F203">
      <w:pPr>
        <w:autoSpaceDE w:val="0"/>
        <w:autoSpaceDN w:val="0"/>
        <w:spacing w:after="624" w:afterLines="200" w:line="240" w:lineRule="auto"/>
        <w:ind w:hanging="480"/>
      </w:pPr>
      <w:r>
        <w:t xml:space="preserve">Khan, M. T. I., Anwar, S., Sarkodie, S. A., Yaseen, M. R., &amp; Nadeem, A. M. (2023). Do natural disasters affect economic growth? The role of human capital, foreign direct investment, and infrastructure dynamics. </w:t>
      </w:r>
      <w:r>
        <w:rPr>
          <w:i/>
          <w:iCs/>
        </w:rPr>
        <w:t>Heliyon</w:t>
      </w:r>
      <w:r>
        <w:t xml:space="preserve">, </w:t>
      </w:r>
      <w:r>
        <w:rPr>
          <w:i/>
          <w:iCs/>
        </w:rPr>
        <w:t>9</w:t>
      </w:r>
      <w:r>
        <w:t>(1), e12911. https://doi.org/10.1016/J.HELIYON.2023.E12911</w:t>
      </w:r>
    </w:p>
    <w:p w14:paraId="33AC5EF1">
      <w:pPr>
        <w:autoSpaceDE w:val="0"/>
        <w:autoSpaceDN w:val="0"/>
        <w:spacing w:after="624" w:afterLines="200" w:line="240" w:lineRule="auto"/>
        <w:ind w:hanging="480"/>
      </w:pPr>
      <w:r>
        <w:t xml:space="preserve">Klomp, J., &amp; Valckx, K. (2014). Natural disasters and economic growth: A meta-analysis. </w:t>
      </w:r>
      <w:r>
        <w:rPr>
          <w:i/>
          <w:iCs/>
        </w:rPr>
        <w:t>Global Environmental Change</w:t>
      </w:r>
      <w:r>
        <w:t xml:space="preserve">, </w:t>
      </w:r>
      <w:r>
        <w:rPr>
          <w:i/>
          <w:iCs/>
        </w:rPr>
        <w:t>26</w:t>
      </w:r>
      <w:r>
        <w:t>, 183–195. https://doi.org/10.1016/j.gloenvcha.2014.02.006</w:t>
      </w:r>
    </w:p>
    <w:p w14:paraId="76C31512">
      <w:pPr>
        <w:autoSpaceDE w:val="0"/>
        <w:autoSpaceDN w:val="0"/>
        <w:spacing w:after="624" w:afterLines="200" w:line="240" w:lineRule="auto"/>
        <w:ind w:hanging="480"/>
      </w:pPr>
      <w:r>
        <w:t xml:space="preserve">Ko, H., Dirth, G. R., Chaiboonsri, C., &amp; Kongbuamai, N. (2025). </w:t>
      </w:r>
      <w:r>
        <w:rPr>
          <w:i/>
          <w:iCs/>
        </w:rPr>
        <w:t>Economic Impact of Foreign Direct Investment, Gross Capital Formation, and Trade Openness on ASEAN Economies: The Matter of the COVID-19 Epidemic and the Global Financial Crisis</w:t>
      </w:r>
      <w:r>
        <w:t xml:space="preserve"> (pp. 17–33). https://doi.org/10.1007/978-981-96-3731-7_2</w:t>
      </w:r>
    </w:p>
    <w:p w14:paraId="350C455B">
      <w:pPr>
        <w:autoSpaceDE w:val="0"/>
        <w:autoSpaceDN w:val="0"/>
        <w:spacing w:after="624" w:afterLines="200" w:line="240" w:lineRule="auto"/>
        <w:ind w:hanging="480"/>
      </w:pPr>
      <w:r>
        <w:t xml:space="preserve">Kunze, S. (2021). Unraveling the Effects of Tropical Cyclones on Economic Sectors Worldwide: Direct and Indirect Impacts. </w:t>
      </w:r>
      <w:r>
        <w:rPr>
          <w:i/>
          <w:iCs/>
        </w:rPr>
        <w:t>Environmental and Resource Economics</w:t>
      </w:r>
      <w:r>
        <w:t xml:space="preserve">, </w:t>
      </w:r>
      <w:r>
        <w:rPr>
          <w:i/>
          <w:iCs/>
        </w:rPr>
        <w:t>78</w:t>
      </w:r>
      <w:r>
        <w:t>(4), 545–569. https://doi.org/10.1007/s10640-021-00541-5</w:t>
      </w:r>
    </w:p>
    <w:p w14:paraId="124B07EC">
      <w:pPr>
        <w:autoSpaceDE w:val="0"/>
        <w:autoSpaceDN w:val="0"/>
        <w:spacing w:after="624" w:afterLines="200" w:line="240" w:lineRule="auto"/>
        <w:ind w:hanging="480"/>
      </w:pPr>
      <w:r>
        <w:t xml:space="preserve">Lee, M., Alano, E., &amp; Villaruel, M. L. (2020). Impact of natural disaster shocks and macroeconomic growth in Asia. </w:t>
      </w:r>
      <w:r>
        <w:rPr>
          <w:i/>
          <w:iCs/>
        </w:rPr>
        <w:t>Resources and Environmental Economics</w:t>
      </w:r>
      <w:r>
        <w:t xml:space="preserve">, </w:t>
      </w:r>
      <w:r>
        <w:rPr>
          <w:i/>
          <w:iCs/>
        </w:rPr>
        <w:t>2</w:t>
      </w:r>
      <w:r>
        <w:t>(2), 172–183. https://doi.org/10.25082/REE.2020.02.003</w:t>
      </w:r>
    </w:p>
    <w:p w14:paraId="637B9145">
      <w:pPr>
        <w:autoSpaceDE w:val="0"/>
        <w:autoSpaceDN w:val="0"/>
        <w:spacing w:after="624" w:afterLines="200" w:line="240" w:lineRule="auto"/>
        <w:ind w:hanging="480"/>
      </w:pPr>
      <w:r>
        <w:t xml:space="preserve">Li, S., Jia, Z., &amp; Zhao, X. (2024). Do typhoon storm surges affect bank performance in coastal regions? Empirical evidence from China. </w:t>
      </w:r>
      <w:r>
        <w:rPr>
          <w:i/>
          <w:iCs/>
        </w:rPr>
        <w:t>Marine Pollution Bulletin</w:t>
      </w:r>
      <w:r>
        <w:t xml:space="preserve">, </w:t>
      </w:r>
      <w:r>
        <w:rPr>
          <w:i/>
          <w:iCs/>
        </w:rPr>
        <w:t>209</w:t>
      </w:r>
      <w:r>
        <w:t>. https://doi.org/10.1016/j.marpolbul.2024.117207</w:t>
      </w:r>
    </w:p>
    <w:p w14:paraId="1680E82C">
      <w:pPr>
        <w:autoSpaceDE w:val="0"/>
        <w:autoSpaceDN w:val="0"/>
        <w:spacing w:after="624" w:afterLines="200" w:line="240" w:lineRule="auto"/>
        <w:ind w:hanging="480"/>
      </w:pPr>
      <w:r>
        <w:t xml:space="preserve">Long, J. B. De, &amp; Summers, L. H. (1991). Equipment Investment and Economic Growth. </w:t>
      </w:r>
      <w:r>
        <w:rPr>
          <w:i/>
          <w:iCs/>
        </w:rPr>
        <w:t>The Quarterly Journal of Economics</w:t>
      </w:r>
      <w:r>
        <w:t xml:space="preserve">, </w:t>
      </w:r>
      <w:r>
        <w:rPr>
          <w:i/>
          <w:iCs/>
        </w:rPr>
        <w:t>106</w:t>
      </w:r>
      <w:r>
        <w:t>(2), 445. https://doi.org/10.2307/2937944</w:t>
      </w:r>
    </w:p>
    <w:p w14:paraId="6A57AD3C">
      <w:pPr>
        <w:autoSpaceDE w:val="0"/>
        <w:autoSpaceDN w:val="0"/>
        <w:spacing w:after="624" w:afterLines="200" w:line="240" w:lineRule="auto"/>
        <w:ind w:hanging="480"/>
      </w:pPr>
      <w:r>
        <w:t xml:space="preserve">Mankiw, N. G., Romer, D., &amp; Weil, D. N. (1992). A Contribution to the Empirics of Economic Growth. </w:t>
      </w:r>
      <w:r>
        <w:rPr>
          <w:i/>
          <w:iCs/>
        </w:rPr>
        <w:t>The Quarterly Journal of Economics</w:t>
      </w:r>
      <w:r>
        <w:t xml:space="preserve">, </w:t>
      </w:r>
      <w:r>
        <w:rPr>
          <w:i/>
          <w:iCs/>
        </w:rPr>
        <w:t>107</w:t>
      </w:r>
      <w:r>
        <w:t>(2), 407–437. https://doi.org/10.2307/2118477</w:t>
      </w:r>
    </w:p>
    <w:p w14:paraId="7E1DBCE8">
      <w:pPr>
        <w:autoSpaceDE w:val="0"/>
        <w:autoSpaceDN w:val="0"/>
        <w:spacing w:after="624" w:afterLines="200" w:line="240" w:lineRule="auto"/>
        <w:ind w:hanging="480"/>
      </w:pPr>
      <w:r>
        <w:t xml:space="preserve">Mateen, H., Bai, J., Dutta, P., Gomez, M., Hong, H., Ng, S., Netusil, N., Pinardon-Touati, N., Tremacoldi-Rossi, P., Santos, T., Shiman, D., Washington, E., Romero, D., Scheinkman, J., &amp; Stiglitz, J. (2024). </w:t>
      </w:r>
      <w:r>
        <w:rPr>
          <w:i/>
          <w:iCs/>
        </w:rPr>
        <w:t>Hurricanes, Adaptation and Capital Formation *</w:t>
      </w:r>
      <w:r>
        <w:t>. https://www.ncei.noaa.gov/access/billions/</w:t>
      </w:r>
    </w:p>
    <w:p w14:paraId="55E512A8">
      <w:pPr>
        <w:autoSpaceDE w:val="0"/>
        <w:autoSpaceDN w:val="0"/>
        <w:spacing w:after="624" w:afterLines="200" w:line="240" w:lineRule="auto"/>
        <w:ind w:hanging="480"/>
      </w:pPr>
      <w:r>
        <w:t xml:space="preserve">Molnar-Tanaka, K., Choi, B.-G., &amp; Park, J. (2024). Disasters and capital accumulation: the case of Southeast Asia. </w:t>
      </w:r>
      <w:r>
        <w:rPr>
          <w:i/>
          <w:iCs/>
        </w:rPr>
        <w:t>Applied Economics Letters</w:t>
      </w:r>
      <w:r>
        <w:t>, 1–4. https://doi.org/10.1080/13504851.2024.2407511</w:t>
      </w:r>
    </w:p>
    <w:p w14:paraId="500992F8">
      <w:pPr>
        <w:autoSpaceDE w:val="0"/>
        <w:autoSpaceDN w:val="0"/>
        <w:spacing w:after="624" w:afterLines="200" w:line="240" w:lineRule="auto"/>
        <w:ind w:hanging="480"/>
      </w:pPr>
      <w:r>
        <w:t xml:space="preserve">Nguyen, H. M., Feng, A., &amp; Garcia-Escribano, M. (2025). </w:t>
      </w:r>
      <w:r>
        <w:rPr>
          <w:i/>
          <w:iCs/>
        </w:rPr>
        <w:t>Understanding the Macroeconomic Effects of Natural Disasters, WP/25/46, February 2025</w:t>
      </w:r>
      <w:r>
        <w:t>.</w:t>
      </w:r>
    </w:p>
    <w:p w14:paraId="1A580911">
      <w:pPr>
        <w:autoSpaceDE w:val="0"/>
        <w:autoSpaceDN w:val="0"/>
        <w:spacing w:after="624" w:afterLines="200" w:line="240" w:lineRule="auto"/>
        <w:ind w:hanging="480"/>
      </w:pPr>
      <w:r>
        <w:t xml:space="preserve">Obe, M. E., Olutumise, A. I., Akinrinola, O. O., Omosehin, O. O., Aturamu, O. A., &amp; Hosu, Y. S. (2024). Impacts of Capital Formation and Investment Sources on Total Factor Productivity: The Example of Nigeria’s Agriculture. </w:t>
      </w:r>
      <w:r>
        <w:rPr>
          <w:i/>
          <w:iCs/>
        </w:rPr>
        <w:t>Diyala Agricultural Sciences Journal</w:t>
      </w:r>
      <w:r>
        <w:t xml:space="preserve">, </w:t>
      </w:r>
      <w:r>
        <w:rPr>
          <w:i/>
          <w:iCs/>
        </w:rPr>
        <w:t>16</w:t>
      </w:r>
      <w:r>
        <w:t>(1), 106–117. https://doi.org/10.52951/dasj.24160109</w:t>
      </w:r>
    </w:p>
    <w:p w14:paraId="3E6083E7">
      <w:pPr>
        <w:autoSpaceDE w:val="0"/>
        <w:autoSpaceDN w:val="0"/>
        <w:spacing w:after="624" w:afterLines="200" w:line="240" w:lineRule="auto"/>
        <w:ind w:hanging="480"/>
      </w:pPr>
      <w:r>
        <w:t xml:space="preserve">Ongo, E. N., &amp; Vukenkeng, A. W. (2014). Does gross capital formation matter for economic growth in the CEMAC sub-region? </w:t>
      </w:r>
      <w:r>
        <w:rPr>
          <w:i/>
          <w:iCs/>
        </w:rPr>
        <w:t>EuroEconomica</w:t>
      </w:r>
      <w:r>
        <w:t xml:space="preserve">, </w:t>
      </w:r>
      <w:r>
        <w:rPr>
          <w:i/>
          <w:iCs/>
        </w:rPr>
        <w:t>2</w:t>
      </w:r>
      <w:r>
        <w:rPr>
          <w:rFonts w:hint="eastAsia" w:ascii="宋体" w:hAnsi="宋体" w:eastAsia="宋体" w:cs="宋体"/>
          <w:i/>
          <w:iCs/>
        </w:rPr>
        <w:t>(</w:t>
      </w:r>
      <w:r>
        <w:rPr>
          <w:i/>
          <w:iCs/>
        </w:rPr>
        <w:t>33</w:t>
      </w:r>
      <w:r>
        <w:rPr>
          <w:rFonts w:hint="eastAsia" w:ascii="宋体" w:hAnsi="宋体" w:eastAsia="宋体" w:cs="宋体"/>
          <w:i/>
          <w:iCs/>
        </w:rPr>
        <w:t>)</w:t>
      </w:r>
      <w:r>
        <w:t>.</w:t>
      </w:r>
    </w:p>
    <w:p w14:paraId="17B10DA3">
      <w:pPr>
        <w:autoSpaceDE w:val="0"/>
        <w:autoSpaceDN w:val="0"/>
        <w:spacing w:after="624" w:afterLines="200" w:line="240" w:lineRule="auto"/>
        <w:ind w:hanging="480"/>
      </w:pPr>
      <w:r>
        <w:t xml:space="preserve">Park, J. (2024). Natural Disasters and Capital Accumulation: The Role of Precautionary Saving and Capital Market Openness. </w:t>
      </w:r>
      <w:r>
        <w:rPr>
          <w:i/>
          <w:iCs/>
        </w:rPr>
        <w:t>SSRN Electronic Journal</w:t>
      </w:r>
      <w:r>
        <w:t>. https://doi.org/10.2139/ssrn.4691453</w:t>
      </w:r>
    </w:p>
    <w:p w14:paraId="7E64DC16">
      <w:pPr>
        <w:autoSpaceDE w:val="0"/>
        <w:autoSpaceDN w:val="0"/>
        <w:spacing w:after="624" w:afterLines="200" w:line="240" w:lineRule="auto"/>
        <w:ind w:hanging="480"/>
      </w:pPr>
      <w:r>
        <w:t xml:space="preserve">Pasara, M. T., &amp; Garidzirai, R. (2020). Causality Effects among Gross Capital Formation, Unemployment and Economic Growth in South Africa. </w:t>
      </w:r>
      <w:r>
        <w:rPr>
          <w:i/>
          <w:iCs/>
        </w:rPr>
        <w:t>Economies</w:t>
      </w:r>
      <w:r>
        <w:t xml:space="preserve">, </w:t>
      </w:r>
      <w:r>
        <w:rPr>
          <w:i/>
          <w:iCs/>
        </w:rPr>
        <w:t>8</w:t>
      </w:r>
      <w:r>
        <w:t>(2), 26. https://doi.org/10.3390/economies8020026</w:t>
      </w:r>
    </w:p>
    <w:p w14:paraId="7E5C28D5">
      <w:pPr>
        <w:autoSpaceDE w:val="0"/>
        <w:autoSpaceDN w:val="0"/>
        <w:spacing w:after="624" w:afterLines="200" w:line="240" w:lineRule="auto"/>
        <w:ind w:hanging="480"/>
      </w:pPr>
      <w:r>
        <w:t xml:space="preserve">Raj, S., Perumal, V., Thissen, M., De Ruiter, M., &amp; Koks, E. E. (n.d.). </w:t>
      </w:r>
      <w:r>
        <w:rPr>
          <w:i/>
          <w:iCs/>
        </w:rPr>
        <w:t>Assessing the Macroeconomic Impacts of Disasters: an Updated Multi-Regional Impact Assessment (MRIA) model</w:t>
      </w:r>
      <w:r>
        <w:t>.</w:t>
      </w:r>
    </w:p>
    <w:p w14:paraId="30976259">
      <w:pPr>
        <w:autoSpaceDE w:val="0"/>
        <w:autoSpaceDN w:val="0"/>
        <w:spacing w:after="624" w:afterLines="200" w:line="240" w:lineRule="auto"/>
        <w:ind w:hanging="480"/>
      </w:pPr>
      <w:r>
        <w:t xml:space="preserve">RASCHKY, P., &amp; WECKHANNEMANN, H. (2007). Charity hazard—A real hazard to natural disaster insurance? </w:t>
      </w:r>
      <w:r>
        <w:rPr>
          <w:i/>
          <w:iCs/>
        </w:rPr>
        <w:t>Environmental Hazards</w:t>
      </w:r>
      <w:r>
        <w:t xml:space="preserve">, </w:t>
      </w:r>
      <w:r>
        <w:rPr>
          <w:i/>
          <w:iCs/>
        </w:rPr>
        <w:t>7</w:t>
      </w:r>
      <w:r>
        <w:t>(4), 321–329. https://doi.org/10.1016/j.envhaz.2007.09.002</w:t>
      </w:r>
    </w:p>
    <w:p w14:paraId="717A1CD5">
      <w:pPr>
        <w:autoSpaceDE w:val="0"/>
        <w:autoSpaceDN w:val="0"/>
        <w:spacing w:after="624" w:afterLines="200" w:line="240" w:lineRule="auto"/>
        <w:ind w:hanging="480"/>
      </w:pPr>
      <w:r>
        <w:t xml:space="preserve">Solow, R. M. (1956). A Contribution to the Theory of Economic Growth. </w:t>
      </w:r>
      <w:r>
        <w:rPr>
          <w:i/>
          <w:iCs/>
        </w:rPr>
        <w:t>The Quarterly Journal of Economics</w:t>
      </w:r>
      <w:r>
        <w:t xml:space="preserve">, </w:t>
      </w:r>
      <w:r>
        <w:rPr>
          <w:i/>
          <w:iCs/>
        </w:rPr>
        <w:t>70</w:t>
      </w:r>
      <w:r>
        <w:t>(1), 65. https://doi.org/10.2307/1884513</w:t>
      </w:r>
    </w:p>
    <w:p w14:paraId="74B10140">
      <w:pPr>
        <w:autoSpaceDE w:val="0"/>
        <w:autoSpaceDN w:val="0"/>
        <w:spacing w:after="624" w:afterLines="200" w:line="240" w:lineRule="auto"/>
        <w:ind w:hanging="480"/>
      </w:pPr>
      <w:r>
        <w:t xml:space="preserve">Strobl, E. (2011). The Economic Growth Impact of Hurricanes: Evidence from U.S. Coastal Counties. </w:t>
      </w:r>
      <w:r>
        <w:rPr>
          <w:i/>
          <w:iCs/>
        </w:rPr>
        <w:t>Review of Economics and Statistics</w:t>
      </w:r>
      <w:r>
        <w:t xml:space="preserve">, </w:t>
      </w:r>
      <w:r>
        <w:rPr>
          <w:i/>
          <w:iCs/>
        </w:rPr>
        <w:t>93</w:t>
      </w:r>
      <w:r>
        <w:t>(2), 575–589. https://doi.org/10.1162/REST_a_00082</w:t>
      </w:r>
    </w:p>
    <w:p w14:paraId="4589E76A">
      <w:pPr>
        <w:autoSpaceDE w:val="0"/>
        <w:autoSpaceDN w:val="0"/>
        <w:spacing w:after="624" w:afterLines="200" w:line="240" w:lineRule="auto"/>
        <w:ind w:hanging="480"/>
      </w:pPr>
      <w:r>
        <w:t xml:space="preserve">Topcu, E., Altinoz, B., &amp; Aslan, A. (2020). Global evidence from the link between economic growth, natural resources, energy consumption, and gross capital formation. </w:t>
      </w:r>
      <w:r>
        <w:rPr>
          <w:i/>
          <w:iCs/>
        </w:rPr>
        <w:t>Resources Policy</w:t>
      </w:r>
      <w:r>
        <w:t xml:space="preserve">, </w:t>
      </w:r>
      <w:r>
        <w:rPr>
          <w:i/>
          <w:iCs/>
        </w:rPr>
        <w:t>66</w:t>
      </w:r>
      <w:r>
        <w:t>, 101622. https://doi.org/10.1016/j.resourpol.2020.101622</w:t>
      </w:r>
    </w:p>
    <w:p w14:paraId="7B5206D8">
      <w:pPr>
        <w:autoSpaceDE w:val="0"/>
        <w:autoSpaceDN w:val="0"/>
        <w:spacing w:after="624" w:afterLines="200" w:line="240" w:lineRule="auto"/>
        <w:ind w:hanging="480"/>
      </w:pPr>
      <w:r>
        <w:t xml:space="preserve">Uneze, E. (2013). The relation between capital formation and economic growth: evidence from sub-Saharan African countries. </w:t>
      </w:r>
      <w:r>
        <w:rPr>
          <w:i/>
          <w:iCs/>
        </w:rPr>
        <w:t>Journal of Economic Policy Reform</w:t>
      </w:r>
      <w:r>
        <w:t xml:space="preserve">, </w:t>
      </w:r>
      <w:r>
        <w:rPr>
          <w:i/>
          <w:iCs/>
        </w:rPr>
        <w:t>16</w:t>
      </w:r>
      <w:r>
        <w:t>(3), 272–286. https://doi.org/10.1080/17487870.2013.799916</w:t>
      </w:r>
    </w:p>
    <w:p w14:paraId="11C97B7A">
      <w:pPr>
        <w:autoSpaceDE w:val="0"/>
        <w:autoSpaceDN w:val="0"/>
        <w:spacing w:after="624" w:afterLines="200" w:line="240" w:lineRule="auto"/>
        <w:ind w:hanging="480"/>
      </w:pPr>
      <w:r>
        <w:t xml:space="preserve">Wasim Akram, Sadia Ali, Abdul Quddoos, &amp; Anam Shehzadi. (2025). The Role of Financial Crisis in Economic Growth; Empirical Evidence from Selected South Asian countries. </w:t>
      </w:r>
      <w:r>
        <w:rPr>
          <w:i/>
          <w:iCs/>
        </w:rPr>
        <w:t>Social Science Review Archives</w:t>
      </w:r>
      <w:r>
        <w:t xml:space="preserve">, </w:t>
      </w:r>
      <w:r>
        <w:rPr>
          <w:i/>
          <w:iCs/>
        </w:rPr>
        <w:t>3</w:t>
      </w:r>
      <w:r>
        <w:t>(3), 1702–1711. https://doi.org/10.70670/sra.v3i3.997</w:t>
      </w:r>
    </w:p>
    <w:p w14:paraId="7992B1E9">
      <w:pPr>
        <w:autoSpaceDE w:val="0"/>
        <w:autoSpaceDN w:val="0"/>
        <w:spacing w:after="624" w:afterLines="200" w:line="240" w:lineRule="auto"/>
        <w:ind w:hanging="480"/>
      </w:pPr>
      <w:r>
        <w:t xml:space="preserve">World Meteorological Organization (WMO). (2023). </w:t>
      </w:r>
      <w:r>
        <w:rPr>
          <w:i/>
          <w:iCs/>
        </w:rPr>
        <w:t>State of the Global Climate 2023</w:t>
      </w:r>
      <w:r>
        <w:t>.</w:t>
      </w:r>
    </w:p>
    <w:p w14:paraId="686A8EBB">
      <w:pPr>
        <w:autoSpaceDE w:val="0"/>
        <w:autoSpaceDN w:val="0"/>
        <w:spacing w:after="624" w:afterLines="200" w:line="240" w:lineRule="auto"/>
        <w:ind w:hanging="480"/>
      </w:pPr>
      <w:r>
        <w:t xml:space="preserve">Zakaria, M., Jun, W., &amp; Khan, M. F. (2019). Impact of financial development on agricultural productivity in South Asia. </w:t>
      </w:r>
      <w:r>
        <w:rPr>
          <w:i/>
          <w:iCs/>
        </w:rPr>
        <w:t>Agricultural Economics (Zemědělská Ekonomika)</w:t>
      </w:r>
      <w:r>
        <w:t xml:space="preserve">, </w:t>
      </w:r>
      <w:r>
        <w:rPr>
          <w:i/>
          <w:iCs/>
        </w:rPr>
        <w:t>65</w:t>
      </w:r>
      <w:r>
        <w:t>(5), 232–239. https://doi.org/10.17221/199/2018-AGRICECON</w:t>
      </w:r>
    </w:p>
    <w:p w14:paraId="5AF294B7">
      <w:pPr>
        <w:autoSpaceDE w:val="0"/>
        <w:autoSpaceDN w:val="0"/>
        <w:spacing w:after="624" w:afterLines="200" w:line="240" w:lineRule="auto"/>
        <w:ind w:hanging="480"/>
      </w:pPr>
      <w:r>
        <w:t xml:space="preserve">Zheng, Y., Zhan, S., Zhu, Z., Cao, S., Chen, J., Zhao, P., Wang, W., &amp; Myneni, R. B. (2025). Assessing the Direct Impact of Typhoons on Vegetation Canopy Structure and Photosynthesis. </w:t>
      </w:r>
      <w:r>
        <w:rPr>
          <w:i/>
          <w:iCs/>
        </w:rPr>
        <w:t>Journal of Remote Sensing (United States)</w:t>
      </w:r>
      <w:r>
        <w:t xml:space="preserve">, </w:t>
      </w:r>
      <w:r>
        <w:rPr>
          <w:i/>
          <w:iCs/>
        </w:rPr>
        <w:t>5</w:t>
      </w:r>
      <w:r>
        <w:t>. https://doi.org/10.34133/remotesensing.0430</w:t>
      </w:r>
    </w:p>
    <w:p w14:paraId="27402931">
      <w:pPr>
        <w:autoSpaceDE w:val="0"/>
        <w:autoSpaceDN w:val="0"/>
        <w:spacing w:after="624" w:afterLines="200" w:line="240" w:lineRule="auto"/>
        <w:ind w:hanging="480"/>
      </w:pPr>
      <w:r>
        <w:t xml:space="preserve">Zhou, M., Wang, S., &amp; Peng, D. (2025). Economic losses from typhoon-induced coastal flooding in Hong Kong under future climate change. </w:t>
      </w:r>
      <w:r>
        <w:rPr>
          <w:i/>
          <w:iCs/>
        </w:rPr>
        <w:t>Journal of Hydrology</w:t>
      </w:r>
      <w:r>
        <w:t xml:space="preserve">, </w:t>
      </w:r>
      <w:r>
        <w:rPr>
          <w:i/>
          <w:iCs/>
        </w:rPr>
        <w:t>661</w:t>
      </w:r>
      <w:r>
        <w:t>. https://doi.org/10.1016/j.jhydrol.2025.133569</w:t>
      </w:r>
    </w:p>
    <w:p w14:paraId="6379082D">
      <w:pPr>
        <w:spacing w:before="468" w:after="468" w:line="480" w:lineRule="auto"/>
        <w:rPr>
          <w:rFonts w:eastAsia="宋体" w:cs="Times New Roman"/>
          <w:bCs w:val="0"/>
          <w:spacing w:val="-2"/>
        </w:rPr>
        <w:sectPr>
          <w:headerReference r:id="rId5" w:type="default"/>
          <w:footerReference r:id="rId6" w:type="default"/>
          <w:pgSz w:w="11906" w:h="16838"/>
          <w:pgMar w:top="1418" w:right="1418" w:bottom="1418" w:left="2268" w:header="851" w:footer="992" w:gutter="0"/>
          <w:cols w:space="425" w:num="1"/>
          <w:docGrid w:type="lines" w:linePitch="312" w:charSpace="0"/>
        </w:sectPr>
      </w:pPr>
    </w:p>
    <w:p w14:paraId="031775C2"/>
    <w:p w14:paraId="360D4ED2"/>
    <w:p w14:paraId="3795A2BD"/>
    <w:p w14:paraId="0290EBFB"/>
    <w:p w14:paraId="0CB99BF5"/>
    <w:p w14:paraId="47A0BA15"/>
    <w:p w14:paraId="7C0F8B50"/>
    <w:p w14:paraId="7B6068DB"/>
    <w:p w14:paraId="3CA38FDF"/>
    <w:p w14:paraId="69D330A8">
      <w:pPr>
        <w:rPr>
          <w:rFonts w:cs="Times New Roman"/>
        </w:rPr>
      </w:pPr>
    </w:p>
    <w:sectPr>
      <w:footerReference r:id="rId7" w:type="default"/>
      <w:pgSz w:w="11906" w:h="16838"/>
      <w:pgMar w:top="1418" w:right="1418" w:bottom="1418" w:left="226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DengXian">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Helvetica Neue">
    <w:panose1 w:val="02000503000000020004"/>
    <w:charset w:val="00"/>
    <w:family w:val="auto"/>
    <w:pitch w:val="default"/>
    <w:sig w:usb0="E50002FF" w:usb1="500079DB" w:usb2="00000010" w:usb3="00000000" w:csb0="00000000" w:csb1="00000000"/>
  </w:font>
  <w:font w:name="Segoe UI">
    <w:altName w:val="苹方-简"/>
    <w:panose1 w:val="020B0502040204020203"/>
    <w:charset w:val="00"/>
    <w:family w:val="swiss"/>
    <w:pitch w:val="default"/>
    <w:sig w:usb0="00000000" w:usb1="00000000" w:usb2="00000009" w:usb3="00000000" w:csb0="000001FF" w:csb1="00000000"/>
  </w:font>
  <w:font w:name="苹方-简">
    <w:panose1 w:val="020B0400000000000000"/>
    <w:charset w:val="86"/>
    <w:family w:val="auto"/>
    <w:pitch w:val="default"/>
    <w:sig w:usb0="A00002FF" w:usb1="7ACFFDFB" w:usb2="00000017"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Times New Roman Italic">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Cambria Math">
    <w:altName w:val="Kingsoft Math"/>
    <w:panose1 w:val="02040503050406030204"/>
    <w:charset w:val="00"/>
    <w:family w:val="roman"/>
    <w:pitch w:val="default"/>
    <w:sig w:usb0="00000000" w:usb1="00000000" w:usb2="00000000" w:usb3="00000000" w:csb0="0000019F" w:csb1="00000000"/>
  </w:font>
  <w:font w:name="Kingsoft Math">
    <w:panose1 w:val="02040503050406030204"/>
    <w:charset w:val="00"/>
    <w:family w:val="auto"/>
    <w:pitch w:val="default"/>
    <w:sig w:usb0="80000087" w:usb1="00002068" w:usb2="00000000" w:usb3="00000000" w:csb0="2000019F"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0"/>
    <w:family w:val="auto"/>
    <w:pitch w:val="default"/>
    <w:sig w:usb0="E00002FF" w:usb1="7AE7FFFF" w:usb2="00000012" w:usb3="00000000" w:csb0="0002000D"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冬青黑体简体中文">
    <w:panose1 w:val="020B0300000000000000"/>
    <w:charset w:val="86"/>
    <w:family w:val="auto"/>
    <w:pitch w:val="default"/>
    <w:sig w:usb0="A00002BF" w:usb1="1ACF7CFA" w:usb2="00000016" w:usb3="00000000" w:csb0="00060007"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C3873">
    <w:pPr>
      <w:pStyle w:val="13"/>
      <w:spacing w:before="360" w:after="360"/>
      <w:jc w:val="center"/>
      <w:rPr>
        <w:rFonts w:eastAsiaTheme="minorEastAsia"/>
      </w:rPr>
    </w:pPr>
    <w:r>
      <w:rPr>
        <w:rFonts w:eastAsiaTheme="minorEastAsia"/>
      </w:rPr>
      <w:fldChar w:fldCharType="begin"/>
    </w:r>
    <w:r>
      <w:rPr>
        <w:rFonts w:eastAsiaTheme="minorEastAsia"/>
      </w:rPr>
      <w:instrText xml:space="preserve">PAGE   \* MERGEFORMAT</w:instrText>
    </w:r>
    <w:r>
      <w:rPr>
        <w:rFonts w:eastAsiaTheme="minorEastAsia"/>
      </w:rPr>
      <w:fldChar w:fldCharType="separate"/>
    </w:r>
    <w:r>
      <w:rPr>
        <w:rFonts w:eastAsiaTheme="minorEastAsia"/>
        <w:lang w:val="zh-CN"/>
      </w:rPr>
      <w:t>1</w:t>
    </w:r>
    <w:r>
      <w:rPr>
        <w:rFonts w:eastAsiaTheme="minorEastAsi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7FAFC">
    <w:pPr>
      <w:pStyle w:val="13"/>
      <w:spacing w:before="360" w:after="360"/>
      <w:rPr>
        <w:rFonts w:eastAsiaTheme="min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C7C59">
    <w:pPr>
      <w:pStyle w:val="14"/>
      <w:spacing w:befor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0F37C7"/>
    <w:multiLevelType w:val="multilevel"/>
    <w:tmpl w:val="530F37C7"/>
    <w:lvl w:ilvl="0" w:tentative="0">
      <w:start w:val="1"/>
      <w:numFmt w:val="decimal"/>
      <w:pStyle w:val="59"/>
      <w:suff w:val="space"/>
      <w:lvlText w:val="%1"/>
      <w:lvlJc w:val="left"/>
      <w:pPr>
        <w:ind w:left="0" w:firstLine="0"/>
      </w:pPr>
      <w:rPr>
        <w:rFonts w:hint="eastAsia"/>
        <w:color w:val="FFFFFF" w:themeColor="background1"/>
        <w14:textFill>
          <w14:solidFill>
            <w14:schemeClr w14:val="bg1"/>
          </w14:solidFill>
        </w14:textFill>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709" w:firstLine="0"/>
      </w:pPr>
      <w:rPr>
        <w:rFonts w:hint="default" w:ascii="Times New Roman" w:hAnsi="Times New Roman" w:cs="Times New Roman"/>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displayBackgroundShape w:val="1"/>
  <w:embedSystemFonts/>
  <w:bordersDoNotSurroundHeader w:val="0"/>
  <w:bordersDoNotSurroundFooter w:val="0"/>
  <w:documentProtection w:enforcement="0"/>
  <w:defaultTabStop w:val="1922"/>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14A"/>
    <w:rsid w:val="000045DF"/>
    <w:rsid w:val="00005343"/>
    <w:rsid w:val="00011E44"/>
    <w:rsid w:val="0001503B"/>
    <w:rsid w:val="0002046F"/>
    <w:rsid w:val="0002244E"/>
    <w:rsid w:val="000233B6"/>
    <w:rsid w:val="000248F8"/>
    <w:rsid w:val="00024DD6"/>
    <w:rsid w:val="00025F8A"/>
    <w:rsid w:val="0003248E"/>
    <w:rsid w:val="00033333"/>
    <w:rsid w:val="00037C82"/>
    <w:rsid w:val="00041980"/>
    <w:rsid w:val="00043E0D"/>
    <w:rsid w:val="00054486"/>
    <w:rsid w:val="00064585"/>
    <w:rsid w:val="0007117B"/>
    <w:rsid w:val="00074757"/>
    <w:rsid w:val="00080C25"/>
    <w:rsid w:val="00080EBE"/>
    <w:rsid w:val="000814D0"/>
    <w:rsid w:val="00084C21"/>
    <w:rsid w:val="0008755A"/>
    <w:rsid w:val="00094747"/>
    <w:rsid w:val="000A0EBC"/>
    <w:rsid w:val="000A2015"/>
    <w:rsid w:val="000A253C"/>
    <w:rsid w:val="000A61A3"/>
    <w:rsid w:val="000A677D"/>
    <w:rsid w:val="000A70B8"/>
    <w:rsid w:val="000A77A7"/>
    <w:rsid w:val="000A7C53"/>
    <w:rsid w:val="000B015D"/>
    <w:rsid w:val="000B264E"/>
    <w:rsid w:val="000B605A"/>
    <w:rsid w:val="000C1844"/>
    <w:rsid w:val="000D1303"/>
    <w:rsid w:val="000E1C90"/>
    <w:rsid w:val="000F04B9"/>
    <w:rsid w:val="000F068F"/>
    <w:rsid w:val="000F5FA7"/>
    <w:rsid w:val="000F76E1"/>
    <w:rsid w:val="00100B0C"/>
    <w:rsid w:val="00101573"/>
    <w:rsid w:val="00105A0C"/>
    <w:rsid w:val="001148AE"/>
    <w:rsid w:val="00115DDA"/>
    <w:rsid w:val="0012239E"/>
    <w:rsid w:val="00124178"/>
    <w:rsid w:val="00126A8D"/>
    <w:rsid w:val="00127664"/>
    <w:rsid w:val="00127F29"/>
    <w:rsid w:val="00134467"/>
    <w:rsid w:val="00136547"/>
    <w:rsid w:val="0014218D"/>
    <w:rsid w:val="00150359"/>
    <w:rsid w:val="0016402F"/>
    <w:rsid w:val="00164E09"/>
    <w:rsid w:val="0017089A"/>
    <w:rsid w:val="00172BD3"/>
    <w:rsid w:val="00173E17"/>
    <w:rsid w:val="001763B3"/>
    <w:rsid w:val="00195625"/>
    <w:rsid w:val="00197D03"/>
    <w:rsid w:val="001A0C27"/>
    <w:rsid w:val="001A35FB"/>
    <w:rsid w:val="001A37C2"/>
    <w:rsid w:val="001A39FD"/>
    <w:rsid w:val="001B0324"/>
    <w:rsid w:val="001B107E"/>
    <w:rsid w:val="001B27F3"/>
    <w:rsid w:val="001C6F90"/>
    <w:rsid w:val="001E1EEA"/>
    <w:rsid w:val="001E36F8"/>
    <w:rsid w:val="001E3833"/>
    <w:rsid w:val="001F696C"/>
    <w:rsid w:val="0020595D"/>
    <w:rsid w:val="00215FD5"/>
    <w:rsid w:val="002167DC"/>
    <w:rsid w:val="00217074"/>
    <w:rsid w:val="0022600E"/>
    <w:rsid w:val="00227D92"/>
    <w:rsid w:val="00233227"/>
    <w:rsid w:val="00236C57"/>
    <w:rsid w:val="002418A7"/>
    <w:rsid w:val="002433A3"/>
    <w:rsid w:val="00247493"/>
    <w:rsid w:val="00254FED"/>
    <w:rsid w:val="00261F7B"/>
    <w:rsid w:val="00264A89"/>
    <w:rsid w:val="00271F4F"/>
    <w:rsid w:val="00272E14"/>
    <w:rsid w:val="00273C42"/>
    <w:rsid w:val="002817AB"/>
    <w:rsid w:val="002846BD"/>
    <w:rsid w:val="00284D29"/>
    <w:rsid w:val="0028574A"/>
    <w:rsid w:val="00296776"/>
    <w:rsid w:val="002A045A"/>
    <w:rsid w:val="002A3D61"/>
    <w:rsid w:val="002A462C"/>
    <w:rsid w:val="002A490D"/>
    <w:rsid w:val="002B2DE3"/>
    <w:rsid w:val="002B59FE"/>
    <w:rsid w:val="002B7FE0"/>
    <w:rsid w:val="002C00A2"/>
    <w:rsid w:val="002C13F4"/>
    <w:rsid w:val="002C14BC"/>
    <w:rsid w:val="002C270B"/>
    <w:rsid w:val="002C3BBD"/>
    <w:rsid w:val="002D0B4A"/>
    <w:rsid w:val="002D572A"/>
    <w:rsid w:val="002E4BA9"/>
    <w:rsid w:val="002E7322"/>
    <w:rsid w:val="002F0A34"/>
    <w:rsid w:val="002F0E2B"/>
    <w:rsid w:val="002F1E92"/>
    <w:rsid w:val="002F77AF"/>
    <w:rsid w:val="002F7850"/>
    <w:rsid w:val="00300B99"/>
    <w:rsid w:val="00301DBD"/>
    <w:rsid w:val="00305FA9"/>
    <w:rsid w:val="00307F7E"/>
    <w:rsid w:val="003102FE"/>
    <w:rsid w:val="00312262"/>
    <w:rsid w:val="00314191"/>
    <w:rsid w:val="0031522E"/>
    <w:rsid w:val="0032044B"/>
    <w:rsid w:val="003215D5"/>
    <w:rsid w:val="003262F1"/>
    <w:rsid w:val="00330D7C"/>
    <w:rsid w:val="003378D5"/>
    <w:rsid w:val="00337CB5"/>
    <w:rsid w:val="00341092"/>
    <w:rsid w:val="003411BB"/>
    <w:rsid w:val="00341BF7"/>
    <w:rsid w:val="0034492B"/>
    <w:rsid w:val="00344AEF"/>
    <w:rsid w:val="0036514A"/>
    <w:rsid w:val="00370C92"/>
    <w:rsid w:val="003779E8"/>
    <w:rsid w:val="00385C49"/>
    <w:rsid w:val="00386461"/>
    <w:rsid w:val="0039005B"/>
    <w:rsid w:val="00396D41"/>
    <w:rsid w:val="003A15A4"/>
    <w:rsid w:val="003A3D13"/>
    <w:rsid w:val="003C18A3"/>
    <w:rsid w:val="003C35B7"/>
    <w:rsid w:val="003D1665"/>
    <w:rsid w:val="003D39C9"/>
    <w:rsid w:val="003D5E29"/>
    <w:rsid w:val="003D7605"/>
    <w:rsid w:val="003E1484"/>
    <w:rsid w:val="003F4CF4"/>
    <w:rsid w:val="003F5FD7"/>
    <w:rsid w:val="003F6B3B"/>
    <w:rsid w:val="004006AE"/>
    <w:rsid w:val="004068D9"/>
    <w:rsid w:val="004127A4"/>
    <w:rsid w:val="004131FF"/>
    <w:rsid w:val="004232D8"/>
    <w:rsid w:val="00424E77"/>
    <w:rsid w:val="0042532D"/>
    <w:rsid w:val="0044263A"/>
    <w:rsid w:val="004427F1"/>
    <w:rsid w:val="00442AC4"/>
    <w:rsid w:val="00445FE2"/>
    <w:rsid w:val="00447777"/>
    <w:rsid w:val="00450193"/>
    <w:rsid w:val="004528AF"/>
    <w:rsid w:val="00456C44"/>
    <w:rsid w:val="00465CBD"/>
    <w:rsid w:val="00470EBE"/>
    <w:rsid w:val="00471F44"/>
    <w:rsid w:val="00474868"/>
    <w:rsid w:val="00480D5B"/>
    <w:rsid w:val="00490A3E"/>
    <w:rsid w:val="00493067"/>
    <w:rsid w:val="00497F9F"/>
    <w:rsid w:val="004A243B"/>
    <w:rsid w:val="004A2CE9"/>
    <w:rsid w:val="004B498C"/>
    <w:rsid w:val="004C130B"/>
    <w:rsid w:val="004D1748"/>
    <w:rsid w:val="004D2047"/>
    <w:rsid w:val="004D45D8"/>
    <w:rsid w:val="004D46F7"/>
    <w:rsid w:val="004D59B4"/>
    <w:rsid w:val="004D7873"/>
    <w:rsid w:val="004E14BE"/>
    <w:rsid w:val="004F0B15"/>
    <w:rsid w:val="004F5555"/>
    <w:rsid w:val="004F60C1"/>
    <w:rsid w:val="004F67D2"/>
    <w:rsid w:val="004F7217"/>
    <w:rsid w:val="005008B2"/>
    <w:rsid w:val="005013A7"/>
    <w:rsid w:val="005107E4"/>
    <w:rsid w:val="00511D80"/>
    <w:rsid w:val="00512113"/>
    <w:rsid w:val="005123F6"/>
    <w:rsid w:val="0052229A"/>
    <w:rsid w:val="00524519"/>
    <w:rsid w:val="0052770C"/>
    <w:rsid w:val="00527D20"/>
    <w:rsid w:val="00532AE5"/>
    <w:rsid w:val="00535A69"/>
    <w:rsid w:val="005367B4"/>
    <w:rsid w:val="00536FD3"/>
    <w:rsid w:val="00544324"/>
    <w:rsid w:val="00553F6A"/>
    <w:rsid w:val="00555B76"/>
    <w:rsid w:val="005616D5"/>
    <w:rsid w:val="005635B9"/>
    <w:rsid w:val="00564DCE"/>
    <w:rsid w:val="00577AA1"/>
    <w:rsid w:val="00577E6D"/>
    <w:rsid w:val="00583226"/>
    <w:rsid w:val="00585627"/>
    <w:rsid w:val="0058737A"/>
    <w:rsid w:val="005919B1"/>
    <w:rsid w:val="00592BA7"/>
    <w:rsid w:val="00596182"/>
    <w:rsid w:val="00596799"/>
    <w:rsid w:val="00597E09"/>
    <w:rsid w:val="005A56CF"/>
    <w:rsid w:val="005B2708"/>
    <w:rsid w:val="005B39B8"/>
    <w:rsid w:val="005B639F"/>
    <w:rsid w:val="005C0B69"/>
    <w:rsid w:val="005C5092"/>
    <w:rsid w:val="005C7F7D"/>
    <w:rsid w:val="005D021C"/>
    <w:rsid w:val="005D75D4"/>
    <w:rsid w:val="005E20D2"/>
    <w:rsid w:val="005E6C7D"/>
    <w:rsid w:val="005F033D"/>
    <w:rsid w:val="005F04C7"/>
    <w:rsid w:val="005F0E39"/>
    <w:rsid w:val="00600805"/>
    <w:rsid w:val="00601226"/>
    <w:rsid w:val="00604FD7"/>
    <w:rsid w:val="00606D89"/>
    <w:rsid w:val="006168F5"/>
    <w:rsid w:val="00631EDD"/>
    <w:rsid w:val="00635984"/>
    <w:rsid w:val="0063618E"/>
    <w:rsid w:val="00637C95"/>
    <w:rsid w:val="0064063A"/>
    <w:rsid w:val="006447A8"/>
    <w:rsid w:val="00644ACF"/>
    <w:rsid w:val="00652C1B"/>
    <w:rsid w:val="00657A62"/>
    <w:rsid w:val="00665A87"/>
    <w:rsid w:val="00665CC4"/>
    <w:rsid w:val="00667289"/>
    <w:rsid w:val="006673ED"/>
    <w:rsid w:val="006700D8"/>
    <w:rsid w:val="006733FD"/>
    <w:rsid w:val="00676BBB"/>
    <w:rsid w:val="00680E84"/>
    <w:rsid w:val="00683465"/>
    <w:rsid w:val="00683C9C"/>
    <w:rsid w:val="00687CD6"/>
    <w:rsid w:val="0069088B"/>
    <w:rsid w:val="00691179"/>
    <w:rsid w:val="006932D3"/>
    <w:rsid w:val="006A0231"/>
    <w:rsid w:val="006A1E9A"/>
    <w:rsid w:val="006A3665"/>
    <w:rsid w:val="006A3715"/>
    <w:rsid w:val="006A771B"/>
    <w:rsid w:val="006B122C"/>
    <w:rsid w:val="006B3174"/>
    <w:rsid w:val="006B4E44"/>
    <w:rsid w:val="006B6004"/>
    <w:rsid w:val="006D0A44"/>
    <w:rsid w:val="006D12DA"/>
    <w:rsid w:val="006D3CAD"/>
    <w:rsid w:val="006E1303"/>
    <w:rsid w:val="006E487A"/>
    <w:rsid w:val="006E674F"/>
    <w:rsid w:val="007009D1"/>
    <w:rsid w:val="007025FE"/>
    <w:rsid w:val="00702FC5"/>
    <w:rsid w:val="0070420B"/>
    <w:rsid w:val="00704308"/>
    <w:rsid w:val="00704B26"/>
    <w:rsid w:val="00710C33"/>
    <w:rsid w:val="00710EB8"/>
    <w:rsid w:val="0071168B"/>
    <w:rsid w:val="00713E6E"/>
    <w:rsid w:val="007262FB"/>
    <w:rsid w:val="00727A14"/>
    <w:rsid w:val="00732B88"/>
    <w:rsid w:val="0074053B"/>
    <w:rsid w:val="00741D9F"/>
    <w:rsid w:val="00744685"/>
    <w:rsid w:val="00744748"/>
    <w:rsid w:val="0074489D"/>
    <w:rsid w:val="00745FCE"/>
    <w:rsid w:val="007462FC"/>
    <w:rsid w:val="0074661A"/>
    <w:rsid w:val="00755402"/>
    <w:rsid w:val="007571C1"/>
    <w:rsid w:val="00760552"/>
    <w:rsid w:val="007610CB"/>
    <w:rsid w:val="00763390"/>
    <w:rsid w:val="00764E30"/>
    <w:rsid w:val="00766E18"/>
    <w:rsid w:val="00766F77"/>
    <w:rsid w:val="00771542"/>
    <w:rsid w:val="00775469"/>
    <w:rsid w:val="007768D6"/>
    <w:rsid w:val="00776E9B"/>
    <w:rsid w:val="007775B5"/>
    <w:rsid w:val="00777931"/>
    <w:rsid w:val="007802C7"/>
    <w:rsid w:val="007813FD"/>
    <w:rsid w:val="00783A81"/>
    <w:rsid w:val="00786A57"/>
    <w:rsid w:val="007879BF"/>
    <w:rsid w:val="007A2EDC"/>
    <w:rsid w:val="007A3C94"/>
    <w:rsid w:val="007A4B1E"/>
    <w:rsid w:val="007A5820"/>
    <w:rsid w:val="007A7AAE"/>
    <w:rsid w:val="007A7C5A"/>
    <w:rsid w:val="007B016D"/>
    <w:rsid w:val="007B021E"/>
    <w:rsid w:val="007B1EBA"/>
    <w:rsid w:val="007C07F8"/>
    <w:rsid w:val="007C0AC9"/>
    <w:rsid w:val="007C1189"/>
    <w:rsid w:val="007C3140"/>
    <w:rsid w:val="007C7363"/>
    <w:rsid w:val="007D1194"/>
    <w:rsid w:val="007D237E"/>
    <w:rsid w:val="007D273A"/>
    <w:rsid w:val="007D3AB4"/>
    <w:rsid w:val="007D457E"/>
    <w:rsid w:val="007D48D9"/>
    <w:rsid w:val="007D5026"/>
    <w:rsid w:val="007D6241"/>
    <w:rsid w:val="007D6C92"/>
    <w:rsid w:val="007D7D8A"/>
    <w:rsid w:val="007E0B22"/>
    <w:rsid w:val="007E47B4"/>
    <w:rsid w:val="007E5859"/>
    <w:rsid w:val="007E7CFA"/>
    <w:rsid w:val="007F0212"/>
    <w:rsid w:val="007F094F"/>
    <w:rsid w:val="007F3470"/>
    <w:rsid w:val="00800293"/>
    <w:rsid w:val="00800EB0"/>
    <w:rsid w:val="0080104B"/>
    <w:rsid w:val="008066AF"/>
    <w:rsid w:val="00806740"/>
    <w:rsid w:val="00810385"/>
    <w:rsid w:val="008110DA"/>
    <w:rsid w:val="00813AFB"/>
    <w:rsid w:val="008178D3"/>
    <w:rsid w:val="00824082"/>
    <w:rsid w:val="008248E7"/>
    <w:rsid w:val="008263BF"/>
    <w:rsid w:val="00830288"/>
    <w:rsid w:val="0083432C"/>
    <w:rsid w:val="00841220"/>
    <w:rsid w:val="00841CF7"/>
    <w:rsid w:val="008428BE"/>
    <w:rsid w:val="008506BC"/>
    <w:rsid w:val="00850B2F"/>
    <w:rsid w:val="00850FCC"/>
    <w:rsid w:val="008533B7"/>
    <w:rsid w:val="00854E51"/>
    <w:rsid w:val="0085565C"/>
    <w:rsid w:val="00857AA6"/>
    <w:rsid w:val="00857B65"/>
    <w:rsid w:val="00857C81"/>
    <w:rsid w:val="00860080"/>
    <w:rsid w:val="008707F4"/>
    <w:rsid w:val="00874F9C"/>
    <w:rsid w:val="008750D3"/>
    <w:rsid w:val="00880E9E"/>
    <w:rsid w:val="008819E5"/>
    <w:rsid w:val="0088215E"/>
    <w:rsid w:val="0088652A"/>
    <w:rsid w:val="008942E8"/>
    <w:rsid w:val="008A46F7"/>
    <w:rsid w:val="008A55DB"/>
    <w:rsid w:val="008A575C"/>
    <w:rsid w:val="008B0AF1"/>
    <w:rsid w:val="008B28A6"/>
    <w:rsid w:val="008B3D17"/>
    <w:rsid w:val="008B5687"/>
    <w:rsid w:val="008B57BE"/>
    <w:rsid w:val="008B5DB9"/>
    <w:rsid w:val="008B68FA"/>
    <w:rsid w:val="008C080E"/>
    <w:rsid w:val="008C2DD5"/>
    <w:rsid w:val="008C369F"/>
    <w:rsid w:val="008C5CA2"/>
    <w:rsid w:val="008D4F63"/>
    <w:rsid w:val="008F0D18"/>
    <w:rsid w:val="00902D3C"/>
    <w:rsid w:val="00902F25"/>
    <w:rsid w:val="009057F1"/>
    <w:rsid w:val="00906C60"/>
    <w:rsid w:val="00913696"/>
    <w:rsid w:val="00914C40"/>
    <w:rsid w:val="00916C0C"/>
    <w:rsid w:val="00923FDB"/>
    <w:rsid w:val="009314D4"/>
    <w:rsid w:val="00932819"/>
    <w:rsid w:val="00932AB7"/>
    <w:rsid w:val="0093665A"/>
    <w:rsid w:val="009371C3"/>
    <w:rsid w:val="00940A72"/>
    <w:rsid w:val="00941927"/>
    <w:rsid w:val="009473BA"/>
    <w:rsid w:val="0095048E"/>
    <w:rsid w:val="009562BD"/>
    <w:rsid w:val="009617A4"/>
    <w:rsid w:val="009713F9"/>
    <w:rsid w:val="009831C0"/>
    <w:rsid w:val="00984A43"/>
    <w:rsid w:val="0098533C"/>
    <w:rsid w:val="009878F5"/>
    <w:rsid w:val="009904EE"/>
    <w:rsid w:val="009947BA"/>
    <w:rsid w:val="0099739B"/>
    <w:rsid w:val="009A1560"/>
    <w:rsid w:val="009B27D3"/>
    <w:rsid w:val="009B5FE4"/>
    <w:rsid w:val="009C0CE1"/>
    <w:rsid w:val="009C2EA4"/>
    <w:rsid w:val="009C38C2"/>
    <w:rsid w:val="009C47F7"/>
    <w:rsid w:val="009C7F8A"/>
    <w:rsid w:val="009D05E7"/>
    <w:rsid w:val="009E0577"/>
    <w:rsid w:val="009F1DA3"/>
    <w:rsid w:val="009F52B2"/>
    <w:rsid w:val="009F7BB8"/>
    <w:rsid w:val="00A021D5"/>
    <w:rsid w:val="00A03350"/>
    <w:rsid w:val="00A053D7"/>
    <w:rsid w:val="00A0634B"/>
    <w:rsid w:val="00A07E04"/>
    <w:rsid w:val="00A126D2"/>
    <w:rsid w:val="00A14D72"/>
    <w:rsid w:val="00A17B47"/>
    <w:rsid w:val="00A272BC"/>
    <w:rsid w:val="00A308A4"/>
    <w:rsid w:val="00A32C6E"/>
    <w:rsid w:val="00A34E04"/>
    <w:rsid w:val="00A4188C"/>
    <w:rsid w:val="00A43099"/>
    <w:rsid w:val="00A53290"/>
    <w:rsid w:val="00A55919"/>
    <w:rsid w:val="00A57CC7"/>
    <w:rsid w:val="00A6367D"/>
    <w:rsid w:val="00A661A9"/>
    <w:rsid w:val="00A702B1"/>
    <w:rsid w:val="00A71854"/>
    <w:rsid w:val="00A7210A"/>
    <w:rsid w:val="00A72B74"/>
    <w:rsid w:val="00A85291"/>
    <w:rsid w:val="00A90BB8"/>
    <w:rsid w:val="00A91C41"/>
    <w:rsid w:val="00A925A2"/>
    <w:rsid w:val="00A94DAD"/>
    <w:rsid w:val="00A95B57"/>
    <w:rsid w:val="00AA68B8"/>
    <w:rsid w:val="00AA703C"/>
    <w:rsid w:val="00AB0484"/>
    <w:rsid w:val="00AB7BC1"/>
    <w:rsid w:val="00AD3296"/>
    <w:rsid w:val="00AE398E"/>
    <w:rsid w:val="00AE4AEE"/>
    <w:rsid w:val="00AE5C83"/>
    <w:rsid w:val="00AE5ED4"/>
    <w:rsid w:val="00AE61B7"/>
    <w:rsid w:val="00AE7500"/>
    <w:rsid w:val="00AF33F0"/>
    <w:rsid w:val="00AF4571"/>
    <w:rsid w:val="00AF6C4E"/>
    <w:rsid w:val="00B0095B"/>
    <w:rsid w:val="00B00E9F"/>
    <w:rsid w:val="00B01875"/>
    <w:rsid w:val="00B02D05"/>
    <w:rsid w:val="00B032E8"/>
    <w:rsid w:val="00B101FC"/>
    <w:rsid w:val="00B13CCB"/>
    <w:rsid w:val="00B14C9C"/>
    <w:rsid w:val="00B151D3"/>
    <w:rsid w:val="00B17D6B"/>
    <w:rsid w:val="00B2059D"/>
    <w:rsid w:val="00B22D84"/>
    <w:rsid w:val="00B23D6A"/>
    <w:rsid w:val="00B273E4"/>
    <w:rsid w:val="00B5422A"/>
    <w:rsid w:val="00B57CB9"/>
    <w:rsid w:val="00B62892"/>
    <w:rsid w:val="00B750A1"/>
    <w:rsid w:val="00B77297"/>
    <w:rsid w:val="00B8011D"/>
    <w:rsid w:val="00B830BE"/>
    <w:rsid w:val="00B84060"/>
    <w:rsid w:val="00B8435D"/>
    <w:rsid w:val="00B877A3"/>
    <w:rsid w:val="00B9199B"/>
    <w:rsid w:val="00B9431F"/>
    <w:rsid w:val="00B96B15"/>
    <w:rsid w:val="00B97996"/>
    <w:rsid w:val="00BA2CC2"/>
    <w:rsid w:val="00BA37CC"/>
    <w:rsid w:val="00BA3C46"/>
    <w:rsid w:val="00BA4474"/>
    <w:rsid w:val="00BA6EF7"/>
    <w:rsid w:val="00BB05D0"/>
    <w:rsid w:val="00BB2B15"/>
    <w:rsid w:val="00BB3A7E"/>
    <w:rsid w:val="00BB49A2"/>
    <w:rsid w:val="00BB519E"/>
    <w:rsid w:val="00BB5CB8"/>
    <w:rsid w:val="00BC2C98"/>
    <w:rsid w:val="00BC4B5B"/>
    <w:rsid w:val="00BC5BB2"/>
    <w:rsid w:val="00BC7BC4"/>
    <w:rsid w:val="00BC7D01"/>
    <w:rsid w:val="00BE3BBD"/>
    <w:rsid w:val="00BE6608"/>
    <w:rsid w:val="00BF0A38"/>
    <w:rsid w:val="00BF425A"/>
    <w:rsid w:val="00BF47D5"/>
    <w:rsid w:val="00BF5941"/>
    <w:rsid w:val="00BF6237"/>
    <w:rsid w:val="00BF66CB"/>
    <w:rsid w:val="00C00CC8"/>
    <w:rsid w:val="00C0248B"/>
    <w:rsid w:val="00C0487F"/>
    <w:rsid w:val="00C05A04"/>
    <w:rsid w:val="00C06DD5"/>
    <w:rsid w:val="00C07064"/>
    <w:rsid w:val="00C1021F"/>
    <w:rsid w:val="00C13B6F"/>
    <w:rsid w:val="00C13C4E"/>
    <w:rsid w:val="00C1526A"/>
    <w:rsid w:val="00C15B3B"/>
    <w:rsid w:val="00C20F58"/>
    <w:rsid w:val="00C24285"/>
    <w:rsid w:val="00C26724"/>
    <w:rsid w:val="00C27A2C"/>
    <w:rsid w:val="00C31EEE"/>
    <w:rsid w:val="00C330B3"/>
    <w:rsid w:val="00C348FB"/>
    <w:rsid w:val="00C3527C"/>
    <w:rsid w:val="00C36FC2"/>
    <w:rsid w:val="00C42363"/>
    <w:rsid w:val="00C43CE8"/>
    <w:rsid w:val="00C47248"/>
    <w:rsid w:val="00C47ECF"/>
    <w:rsid w:val="00C521A3"/>
    <w:rsid w:val="00C564F8"/>
    <w:rsid w:val="00C56BD9"/>
    <w:rsid w:val="00C56E3B"/>
    <w:rsid w:val="00C570AE"/>
    <w:rsid w:val="00C75301"/>
    <w:rsid w:val="00C75CD6"/>
    <w:rsid w:val="00C76B87"/>
    <w:rsid w:val="00C827CB"/>
    <w:rsid w:val="00C84179"/>
    <w:rsid w:val="00C877FF"/>
    <w:rsid w:val="00C9359A"/>
    <w:rsid w:val="00CA1EA8"/>
    <w:rsid w:val="00CA2959"/>
    <w:rsid w:val="00CA5EBE"/>
    <w:rsid w:val="00CB7700"/>
    <w:rsid w:val="00CC51CF"/>
    <w:rsid w:val="00CC67E7"/>
    <w:rsid w:val="00CC6AA4"/>
    <w:rsid w:val="00CD06CB"/>
    <w:rsid w:val="00CD334A"/>
    <w:rsid w:val="00CE3C12"/>
    <w:rsid w:val="00CF368F"/>
    <w:rsid w:val="00D00386"/>
    <w:rsid w:val="00D03939"/>
    <w:rsid w:val="00D03DC2"/>
    <w:rsid w:val="00D060D3"/>
    <w:rsid w:val="00D10AE3"/>
    <w:rsid w:val="00D10E2B"/>
    <w:rsid w:val="00D1119E"/>
    <w:rsid w:val="00D12AEC"/>
    <w:rsid w:val="00D12C12"/>
    <w:rsid w:val="00D13087"/>
    <w:rsid w:val="00D15976"/>
    <w:rsid w:val="00D17BBD"/>
    <w:rsid w:val="00D2550F"/>
    <w:rsid w:val="00D27155"/>
    <w:rsid w:val="00D33E4C"/>
    <w:rsid w:val="00D34337"/>
    <w:rsid w:val="00D3434B"/>
    <w:rsid w:val="00D3490C"/>
    <w:rsid w:val="00D42AA7"/>
    <w:rsid w:val="00D45F7E"/>
    <w:rsid w:val="00D477CD"/>
    <w:rsid w:val="00D5072A"/>
    <w:rsid w:val="00D50F63"/>
    <w:rsid w:val="00D63C48"/>
    <w:rsid w:val="00D672B9"/>
    <w:rsid w:val="00D70D62"/>
    <w:rsid w:val="00D72C2D"/>
    <w:rsid w:val="00D75606"/>
    <w:rsid w:val="00D800BB"/>
    <w:rsid w:val="00D80972"/>
    <w:rsid w:val="00D81E61"/>
    <w:rsid w:val="00D82AD9"/>
    <w:rsid w:val="00D839C2"/>
    <w:rsid w:val="00D85A03"/>
    <w:rsid w:val="00D90BC6"/>
    <w:rsid w:val="00D91288"/>
    <w:rsid w:val="00D91F5B"/>
    <w:rsid w:val="00D92329"/>
    <w:rsid w:val="00D93356"/>
    <w:rsid w:val="00D93A00"/>
    <w:rsid w:val="00D93E93"/>
    <w:rsid w:val="00DA11EC"/>
    <w:rsid w:val="00DA20D4"/>
    <w:rsid w:val="00DA462C"/>
    <w:rsid w:val="00DA7B64"/>
    <w:rsid w:val="00DB012B"/>
    <w:rsid w:val="00DC40B1"/>
    <w:rsid w:val="00DC6328"/>
    <w:rsid w:val="00DD205C"/>
    <w:rsid w:val="00DD31B9"/>
    <w:rsid w:val="00DD562A"/>
    <w:rsid w:val="00DE4B47"/>
    <w:rsid w:val="00DE5BBB"/>
    <w:rsid w:val="00DF6770"/>
    <w:rsid w:val="00E00418"/>
    <w:rsid w:val="00E00479"/>
    <w:rsid w:val="00E04A74"/>
    <w:rsid w:val="00E0653F"/>
    <w:rsid w:val="00E13787"/>
    <w:rsid w:val="00E15470"/>
    <w:rsid w:val="00E2132C"/>
    <w:rsid w:val="00E27A7B"/>
    <w:rsid w:val="00E303AB"/>
    <w:rsid w:val="00E3655C"/>
    <w:rsid w:val="00E370A2"/>
    <w:rsid w:val="00E402C4"/>
    <w:rsid w:val="00E4391D"/>
    <w:rsid w:val="00E45CF8"/>
    <w:rsid w:val="00E45DAF"/>
    <w:rsid w:val="00E52BD4"/>
    <w:rsid w:val="00E53733"/>
    <w:rsid w:val="00E542EE"/>
    <w:rsid w:val="00E576E5"/>
    <w:rsid w:val="00E66B36"/>
    <w:rsid w:val="00E66BF8"/>
    <w:rsid w:val="00E70D84"/>
    <w:rsid w:val="00E71B57"/>
    <w:rsid w:val="00E73F67"/>
    <w:rsid w:val="00E75284"/>
    <w:rsid w:val="00E86FB1"/>
    <w:rsid w:val="00E924F0"/>
    <w:rsid w:val="00E92E5E"/>
    <w:rsid w:val="00E930DA"/>
    <w:rsid w:val="00E94DF8"/>
    <w:rsid w:val="00E95608"/>
    <w:rsid w:val="00EA379C"/>
    <w:rsid w:val="00EA75DF"/>
    <w:rsid w:val="00EC0F0D"/>
    <w:rsid w:val="00EC43E4"/>
    <w:rsid w:val="00ED5591"/>
    <w:rsid w:val="00EE5691"/>
    <w:rsid w:val="00EE6998"/>
    <w:rsid w:val="00F01192"/>
    <w:rsid w:val="00F04221"/>
    <w:rsid w:val="00F10A5B"/>
    <w:rsid w:val="00F11CF7"/>
    <w:rsid w:val="00F1446E"/>
    <w:rsid w:val="00F15601"/>
    <w:rsid w:val="00F30D16"/>
    <w:rsid w:val="00F31D0F"/>
    <w:rsid w:val="00F34119"/>
    <w:rsid w:val="00F35E88"/>
    <w:rsid w:val="00F41989"/>
    <w:rsid w:val="00F4412B"/>
    <w:rsid w:val="00F456D3"/>
    <w:rsid w:val="00F4575F"/>
    <w:rsid w:val="00F45BB3"/>
    <w:rsid w:val="00F47602"/>
    <w:rsid w:val="00F5100D"/>
    <w:rsid w:val="00F52662"/>
    <w:rsid w:val="00F53764"/>
    <w:rsid w:val="00F5698B"/>
    <w:rsid w:val="00F6437D"/>
    <w:rsid w:val="00F65BD1"/>
    <w:rsid w:val="00F66F5C"/>
    <w:rsid w:val="00F77818"/>
    <w:rsid w:val="00F7794A"/>
    <w:rsid w:val="00F90700"/>
    <w:rsid w:val="00F942DB"/>
    <w:rsid w:val="00F976B2"/>
    <w:rsid w:val="00FB0DBF"/>
    <w:rsid w:val="00FB241F"/>
    <w:rsid w:val="00FB69AF"/>
    <w:rsid w:val="00FC0838"/>
    <w:rsid w:val="00FC2515"/>
    <w:rsid w:val="00FC5A1E"/>
    <w:rsid w:val="00FC6E1D"/>
    <w:rsid w:val="00FD1286"/>
    <w:rsid w:val="00FD6FCF"/>
    <w:rsid w:val="00FE0BF1"/>
    <w:rsid w:val="00FE13F1"/>
    <w:rsid w:val="00FE2132"/>
    <w:rsid w:val="00FE432F"/>
    <w:rsid w:val="00FE7362"/>
    <w:rsid w:val="00FF749E"/>
    <w:rsid w:val="03FB63CB"/>
    <w:rsid w:val="08166BD0"/>
    <w:rsid w:val="09CB1169"/>
    <w:rsid w:val="0E9438E5"/>
    <w:rsid w:val="0F515C98"/>
    <w:rsid w:val="115B693C"/>
    <w:rsid w:val="11C5043F"/>
    <w:rsid w:val="11E44B84"/>
    <w:rsid w:val="13AB3BAB"/>
    <w:rsid w:val="25626755"/>
    <w:rsid w:val="2989258C"/>
    <w:rsid w:val="30A752A2"/>
    <w:rsid w:val="31261FE1"/>
    <w:rsid w:val="37225683"/>
    <w:rsid w:val="3897663B"/>
    <w:rsid w:val="3ACD5CF1"/>
    <w:rsid w:val="3C4A1903"/>
    <w:rsid w:val="3FBD8CCE"/>
    <w:rsid w:val="3FFD2C1C"/>
    <w:rsid w:val="4396542E"/>
    <w:rsid w:val="485E0B17"/>
    <w:rsid w:val="4E7B0599"/>
    <w:rsid w:val="4ED908C5"/>
    <w:rsid w:val="50080930"/>
    <w:rsid w:val="5305612D"/>
    <w:rsid w:val="549D7962"/>
    <w:rsid w:val="55A82D9F"/>
    <w:rsid w:val="56C2229D"/>
    <w:rsid w:val="57344289"/>
    <w:rsid w:val="5CFF599B"/>
    <w:rsid w:val="60A745F0"/>
    <w:rsid w:val="6D3E01D1"/>
    <w:rsid w:val="719412A7"/>
    <w:rsid w:val="72CFDB66"/>
    <w:rsid w:val="7530098F"/>
    <w:rsid w:val="75330086"/>
    <w:rsid w:val="75A66EA3"/>
    <w:rsid w:val="75DE03EB"/>
    <w:rsid w:val="767FD909"/>
    <w:rsid w:val="7739079B"/>
    <w:rsid w:val="795126A3"/>
    <w:rsid w:val="79CC5641"/>
    <w:rsid w:val="7AB40637"/>
    <w:rsid w:val="7BFD37B8"/>
    <w:rsid w:val="7E682F48"/>
    <w:rsid w:val="7F7974FB"/>
    <w:rsid w:val="9D7C1E1F"/>
    <w:rsid w:val="EF355B6E"/>
    <w:rsid w:val="FED7C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Times New Roman" w:cstheme="minorBidi"/>
      <w:bCs/>
      <w:kern w:val="44"/>
      <w:sz w:val="24"/>
      <w:szCs w:val="24"/>
      <w:lang w:val="en-US" w:eastAsia="zh-CN" w:bidi="ar-SA"/>
    </w:rPr>
  </w:style>
  <w:style w:type="paragraph" w:styleId="2">
    <w:name w:val="heading 1"/>
    <w:basedOn w:val="1"/>
    <w:next w:val="1"/>
    <w:link w:val="51"/>
    <w:autoRedefine/>
    <w:qFormat/>
    <w:uiPriority w:val="0"/>
    <w:pPr>
      <w:keepNext/>
      <w:keepLines/>
      <w:spacing w:after="468" w:afterLines="150"/>
      <w:jc w:val="center"/>
      <w:outlineLvl w:val="0"/>
    </w:pPr>
    <w:rPr>
      <w:rFonts w:cs="Times New Roman"/>
      <w:b/>
    </w:rPr>
  </w:style>
  <w:style w:type="paragraph" w:styleId="3">
    <w:name w:val="heading 2"/>
    <w:basedOn w:val="1"/>
    <w:next w:val="1"/>
    <w:autoRedefine/>
    <w:unhideWhenUsed/>
    <w:qFormat/>
    <w:uiPriority w:val="0"/>
    <w:pPr>
      <w:keepNext/>
      <w:keepLines/>
      <w:numPr>
        <w:ilvl w:val="1"/>
        <w:numId w:val="1"/>
      </w:numPr>
      <w:spacing w:before="468" w:beforeLines="150"/>
      <w:jc w:val="left"/>
      <w:outlineLvl w:val="1"/>
    </w:pPr>
    <w:rPr>
      <w:rFonts w:cs="Times New Roman"/>
      <w:b/>
      <w:color w:val="000000"/>
      <w:kern w:val="0"/>
    </w:rPr>
  </w:style>
  <w:style w:type="paragraph" w:styleId="4">
    <w:name w:val="heading 3"/>
    <w:basedOn w:val="1"/>
    <w:next w:val="1"/>
    <w:autoRedefine/>
    <w:unhideWhenUsed/>
    <w:qFormat/>
    <w:uiPriority w:val="0"/>
    <w:pPr>
      <w:keepNext/>
      <w:keepLines/>
      <w:numPr>
        <w:ilvl w:val="2"/>
        <w:numId w:val="1"/>
      </w:numPr>
      <w:ind w:left="0"/>
      <w:jc w:val="left"/>
      <w:outlineLvl w:val="2"/>
    </w:pPr>
    <w:rPr>
      <w:rFonts w:eastAsia="DengXian" w:cs="Times New Roman"/>
      <w:b/>
      <w:color w:val="000000"/>
      <w:kern w:val="2"/>
    </w:rPr>
  </w:style>
  <w:style w:type="paragraph" w:styleId="5">
    <w:name w:val="heading 4"/>
    <w:basedOn w:val="1"/>
    <w:next w:val="1"/>
    <w:link w:val="41"/>
    <w:unhideWhenUsed/>
    <w:qFormat/>
    <w:uiPriority w:val="0"/>
    <w:pPr>
      <w:keepNext/>
      <w:keepLines/>
      <w:spacing w:before="120" w:after="120"/>
      <w:jc w:val="center"/>
      <w:outlineLvl w:val="3"/>
    </w:pPr>
    <w:rPr>
      <w:rFonts w:cs="Times New Roman"/>
      <w:b/>
      <w:sz w:val="28"/>
      <w:szCs w:val="28"/>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uiPriority w:val="39"/>
    <w:pPr>
      <w:spacing w:after="160" w:line="278" w:lineRule="auto"/>
      <w:ind w:left="2520"/>
      <w:jc w:val="left"/>
    </w:pPr>
    <w:rPr>
      <w:rFonts w:asciiTheme="minorHAnsi" w:hAnsiTheme="minorHAnsi" w:eastAsiaTheme="minorEastAsia"/>
      <w:bCs w:val="0"/>
      <w:kern w:val="2"/>
      <w:sz w:val="22"/>
      <w14:ligatures w14:val="standardContextual"/>
    </w:rPr>
  </w:style>
  <w:style w:type="paragraph" w:styleId="7">
    <w:name w:val="caption"/>
    <w:basedOn w:val="1"/>
    <w:next w:val="1"/>
    <w:link w:val="44"/>
    <w:autoRedefine/>
    <w:unhideWhenUsed/>
    <w:qFormat/>
    <w:uiPriority w:val="0"/>
    <w:pPr>
      <w:keepNext/>
      <w:widowControl/>
      <w:spacing w:before="468" w:beforeLines="150" w:line="240" w:lineRule="auto"/>
      <w:jc w:val="center"/>
    </w:pPr>
    <w:rPr>
      <w:rFonts w:cs="Times New Roman"/>
      <w:sz w:val="20"/>
      <w:szCs w:val="20"/>
    </w:rPr>
  </w:style>
  <w:style w:type="paragraph" w:styleId="8">
    <w:name w:val="annotation text"/>
    <w:basedOn w:val="1"/>
    <w:link w:val="32"/>
    <w:qFormat/>
    <w:uiPriority w:val="0"/>
    <w:pPr>
      <w:spacing w:line="240" w:lineRule="auto"/>
    </w:pPr>
    <w:rPr>
      <w:sz w:val="20"/>
      <w:szCs w:val="20"/>
    </w:rPr>
  </w:style>
  <w:style w:type="paragraph" w:styleId="9">
    <w:name w:val="toc 5"/>
    <w:basedOn w:val="1"/>
    <w:next w:val="1"/>
    <w:autoRedefine/>
    <w:unhideWhenUsed/>
    <w:uiPriority w:val="39"/>
    <w:pPr>
      <w:spacing w:after="160" w:line="278" w:lineRule="auto"/>
      <w:ind w:left="1680"/>
      <w:jc w:val="left"/>
    </w:pPr>
    <w:rPr>
      <w:rFonts w:asciiTheme="minorHAnsi" w:hAnsiTheme="minorHAnsi" w:eastAsiaTheme="minorEastAsia"/>
      <w:bCs w:val="0"/>
      <w:kern w:val="2"/>
      <w:sz w:val="22"/>
      <w14:ligatures w14:val="standardContextual"/>
    </w:rPr>
  </w:style>
  <w:style w:type="paragraph" w:styleId="10">
    <w:name w:val="toc 3"/>
    <w:basedOn w:val="1"/>
    <w:next w:val="1"/>
    <w:qFormat/>
    <w:uiPriority w:val="39"/>
    <w:pPr>
      <w:tabs>
        <w:tab w:val="right" w:pos="10206"/>
      </w:tabs>
      <w:ind w:left="1320"/>
    </w:pPr>
  </w:style>
  <w:style w:type="paragraph" w:styleId="11">
    <w:name w:val="toc 8"/>
    <w:basedOn w:val="1"/>
    <w:next w:val="1"/>
    <w:autoRedefine/>
    <w:unhideWhenUsed/>
    <w:uiPriority w:val="39"/>
    <w:pPr>
      <w:spacing w:after="160" w:line="278" w:lineRule="auto"/>
      <w:ind w:left="2940"/>
      <w:jc w:val="left"/>
    </w:pPr>
    <w:rPr>
      <w:rFonts w:asciiTheme="minorHAnsi" w:hAnsiTheme="minorHAnsi" w:eastAsiaTheme="minorEastAsia"/>
      <w:bCs w:val="0"/>
      <w:kern w:val="2"/>
      <w:sz w:val="22"/>
      <w14:ligatures w14:val="standardContextual"/>
    </w:rPr>
  </w:style>
  <w:style w:type="paragraph" w:styleId="12">
    <w:name w:val="Balloon Text"/>
    <w:basedOn w:val="1"/>
    <w:link w:val="34"/>
    <w:qFormat/>
    <w:uiPriority w:val="0"/>
    <w:pPr>
      <w:spacing w:line="240" w:lineRule="auto"/>
    </w:pPr>
    <w:rPr>
      <w:rFonts w:ascii="Segoe UI" w:hAnsi="Segoe UI" w:cs="Segoe UI"/>
      <w:sz w:val="18"/>
      <w:szCs w:val="18"/>
    </w:rPr>
  </w:style>
  <w:style w:type="paragraph" w:styleId="13">
    <w:name w:val="footer"/>
    <w:basedOn w:val="1"/>
    <w:link w:val="39"/>
    <w:qFormat/>
    <w:uiPriority w:val="99"/>
    <w:pPr>
      <w:tabs>
        <w:tab w:val="center" w:pos="4153"/>
        <w:tab w:val="right" w:pos="8306"/>
      </w:tabs>
      <w:snapToGrid w:val="0"/>
      <w:spacing w:line="240" w:lineRule="auto"/>
      <w:jc w:val="left"/>
    </w:pPr>
    <w:rPr>
      <w:sz w:val="18"/>
      <w:szCs w:val="18"/>
    </w:rPr>
  </w:style>
  <w:style w:type="paragraph" w:styleId="14">
    <w:name w:val="header"/>
    <w:basedOn w:val="1"/>
    <w:link w:val="38"/>
    <w:qFormat/>
    <w:uiPriority w:val="0"/>
    <w:pPr>
      <w:tabs>
        <w:tab w:val="center" w:pos="4153"/>
        <w:tab w:val="right" w:pos="8306"/>
      </w:tabs>
      <w:snapToGrid w:val="0"/>
      <w:spacing w:line="240" w:lineRule="auto"/>
      <w:jc w:val="center"/>
    </w:pPr>
    <w:rPr>
      <w:sz w:val="18"/>
      <w:szCs w:val="18"/>
    </w:rPr>
  </w:style>
  <w:style w:type="paragraph" w:styleId="15">
    <w:name w:val="toc 1"/>
    <w:basedOn w:val="1"/>
    <w:next w:val="1"/>
    <w:qFormat/>
    <w:uiPriority w:val="39"/>
    <w:pPr>
      <w:tabs>
        <w:tab w:val="right" w:pos="8210"/>
        <w:tab w:val="right" w:pos="10206"/>
      </w:tabs>
      <w:jc w:val="left"/>
    </w:pPr>
    <w:rPr>
      <w:rFonts w:cs="Times New Roman"/>
    </w:rPr>
  </w:style>
  <w:style w:type="paragraph" w:styleId="16">
    <w:name w:val="toc 4"/>
    <w:basedOn w:val="1"/>
    <w:next w:val="1"/>
    <w:autoRedefine/>
    <w:qFormat/>
    <w:uiPriority w:val="39"/>
    <w:pPr>
      <w:tabs>
        <w:tab w:val="right" w:leader="dot" w:pos="8211"/>
      </w:tabs>
      <w:contextualSpacing/>
    </w:pPr>
    <w:rPr>
      <w:b/>
      <w:bCs w:val="0"/>
    </w:rPr>
  </w:style>
  <w:style w:type="paragraph" w:styleId="17">
    <w:name w:val="toc 6"/>
    <w:basedOn w:val="1"/>
    <w:next w:val="1"/>
    <w:autoRedefine/>
    <w:unhideWhenUsed/>
    <w:uiPriority w:val="39"/>
    <w:pPr>
      <w:spacing w:after="160" w:line="278" w:lineRule="auto"/>
      <w:ind w:left="2100"/>
      <w:jc w:val="left"/>
    </w:pPr>
    <w:rPr>
      <w:rFonts w:asciiTheme="minorHAnsi" w:hAnsiTheme="minorHAnsi" w:eastAsiaTheme="minorEastAsia"/>
      <w:bCs w:val="0"/>
      <w:kern w:val="2"/>
      <w:sz w:val="22"/>
      <w14:ligatures w14:val="standardContextual"/>
    </w:rPr>
  </w:style>
  <w:style w:type="paragraph" w:styleId="18">
    <w:name w:val="table of figures"/>
    <w:basedOn w:val="7"/>
    <w:next w:val="1"/>
    <w:autoRedefine/>
    <w:qFormat/>
    <w:uiPriority w:val="99"/>
    <w:pPr>
      <w:keepNext w:val="0"/>
      <w:widowControl w:val="0"/>
      <w:spacing w:line="360" w:lineRule="auto"/>
      <w:ind w:left="480" w:hanging="480"/>
      <w:jc w:val="left"/>
    </w:pPr>
    <w:rPr>
      <w:rFonts w:asciiTheme="minorHAnsi" w:hAnsiTheme="minorHAnsi" w:cstheme="minorHAnsi"/>
      <w:bCs w:val="0"/>
      <w:caps/>
    </w:rPr>
  </w:style>
  <w:style w:type="paragraph" w:styleId="19">
    <w:name w:val="toc 2"/>
    <w:basedOn w:val="1"/>
    <w:next w:val="1"/>
    <w:autoRedefine/>
    <w:qFormat/>
    <w:uiPriority w:val="39"/>
    <w:pPr>
      <w:tabs>
        <w:tab w:val="left" w:pos="1100"/>
        <w:tab w:val="right" w:pos="8210"/>
        <w:tab w:val="right" w:pos="10206"/>
      </w:tabs>
      <w:ind w:left="720"/>
    </w:pPr>
  </w:style>
  <w:style w:type="paragraph" w:styleId="20">
    <w:name w:val="toc 9"/>
    <w:basedOn w:val="1"/>
    <w:next w:val="1"/>
    <w:autoRedefine/>
    <w:unhideWhenUsed/>
    <w:uiPriority w:val="39"/>
    <w:pPr>
      <w:spacing w:after="160" w:line="278" w:lineRule="auto"/>
      <w:ind w:left="3360"/>
      <w:jc w:val="left"/>
    </w:pPr>
    <w:rPr>
      <w:rFonts w:asciiTheme="minorHAnsi" w:hAnsiTheme="minorHAnsi" w:eastAsiaTheme="minorEastAsia"/>
      <w:bCs w:val="0"/>
      <w:kern w:val="2"/>
      <w:sz w:val="22"/>
      <w14:ligatures w14:val="standardContextual"/>
    </w:rPr>
  </w:style>
  <w:style w:type="paragraph" w:styleId="21">
    <w:name w:val="HTML Preformatted"/>
    <w:basedOn w:val="1"/>
    <w:link w:val="62"/>
    <w:qFormat/>
    <w:uiPriority w:val="0"/>
    <w:rPr>
      <w:rFonts w:ascii="Courier New" w:hAnsi="Courier New" w:cs="Courier New"/>
      <w:sz w:val="20"/>
      <w:szCs w:val="20"/>
    </w:rPr>
  </w:style>
  <w:style w:type="paragraph" w:styleId="22">
    <w:name w:val="Normal (Web)"/>
    <w:basedOn w:val="1"/>
    <w:qFormat/>
    <w:uiPriority w:val="99"/>
  </w:style>
  <w:style w:type="paragraph" w:styleId="23">
    <w:name w:val="annotation subject"/>
    <w:basedOn w:val="8"/>
    <w:next w:val="8"/>
    <w:link w:val="33"/>
    <w:qFormat/>
    <w:uiPriority w:val="0"/>
    <w:rPr>
      <w:b/>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FollowedHyperlink"/>
    <w:basedOn w:val="26"/>
    <w:qFormat/>
    <w:uiPriority w:val="0"/>
    <w:rPr>
      <w:color w:val="7E1FAD" w:themeColor="followedHyperlink"/>
      <w:u w:val="single"/>
      <w14:textFill>
        <w14:solidFill>
          <w14:schemeClr w14:val="folHlink"/>
        </w14:solidFill>
      </w14:textFill>
    </w:rPr>
  </w:style>
  <w:style w:type="character" w:styleId="29">
    <w:name w:val="Hyperlink"/>
    <w:basedOn w:val="26"/>
    <w:unhideWhenUsed/>
    <w:qFormat/>
    <w:uiPriority w:val="99"/>
    <w:rPr>
      <w:color w:val="0026E5" w:themeColor="hyperlink"/>
      <w:u w:val="single"/>
      <w14:textFill>
        <w14:solidFill>
          <w14:schemeClr w14:val="hlink"/>
        </w14:solidFill>
      </w14:textFill>
    </w:rPr>
  </w:style>
  <w:style w:type="character" w:styleId="30">
    <w:name w:val="annotation reference"/>
    <w:basedOn w:val="26"/>
    <w:qFormat/>
    <w:uiPriority w:val="0"/>
    <w:rPr>
      <w:sz w:val="16"/>
      <w:szCs w:val="16"/>
    </w:rPr>
  </w:style>
  <w:style w:type="paragraph" w:styleId="31">
    <w:name w:val="List Paragraph"/>
    <w:basedOn w:val="1"/>
    <w:qFormat/>
    <w:uiPriority w:val="1"/>
    <w:pPr>
      <w:spacing w:before="23"/>
      <w:ind w:left="3960" w:hanging="360"/>
    </w:pPr>
  </w:style>
  <w:style w:type="character" w:customStyle="1" w:styleId="32">
    <w:name w:val="批注文字 字符"/>
    <w:basedOn w:val="26"/>
    <w:link w:val="8"/>
    <w:qFormat/>
    <w:uiPriority w:val="0"/>
    <w:rPr>
      <w:rFonts w:eastAsia="Times New Roman" w:cstheme="minorBidi"/>
      <w:bCs/>
      <w:kern w:val="44"/>
    </w:rPr>
  </w:style>
  <w:style w:type="character" w:customStyle="1" w:styleId="33">
    <w:name w:val="批注主题 字符"/>
    <w:basedOn w:val="32"/>
    <w:link w:val="23"/>
    <w:qFormat/>
    <w:uiPriority w:val="0"/>
    <w:rPr>
      <w:rFonts w:eastAsia="Times New Roman" w:cstheme="minorBidi"/>
      <w:b/>
      <w:kern w:val="44"/>
    </w:rPr>
  </w:style>
  <w:style w:type="character" w:customStyle="1" w:styleId="34">
    <w:name w:val="批注框文本 字符"/>
    <w:basedOn w:val="26"/>
    <w:link w:val="12"/>
    <w:qFormat/>
    <w:uiPriority w:val="0"/>
    <w:rPr>
      <w:rFonts w:ascii="Segoe UI" w:hAnsi="Segoe UI" w:eastAsia="Times New Roman" w:cs="Segoe UI"/>
      <w:bCs/>
      <w:kern w:val="44"/>
      <w:sz w:val="18"/>
      <w:szCs w:val="18"/>
    </w:rPr>
  </w:style>
  <w:style w:type="paragraph" w:customStyle="1" w:styleId="35">
    <w:name w:val="修订1"/>
    <w:hidden/>
    <w:semiHidden/>
    <w:qFormat/>
    <w:uiPriority w:val="99"/>
    <w:rPr>
      <w:rFonts w:ascii="Times New Roman" w:hAnsi="Times New Roman" w:eastAsia="Times New Roman" w:cstheme="minorBidi"/>
      <w:bCs/>
      <w:kern w:val="44"/>
      <w:sz w:val="24"/>
      <w:szCs w:val="24"/>
      <w:lang w:val="en-US" w:eastAsia="zh-CN" w:bidi="ar-SA"/>
    </w:rPr>
  </w:style>
  <w:style w:type="character" w:customStyle="1" w:styleId="36">
    <w:name w:val="cf01"/>
    <w:basedOn w:val="26"/>
    <w:qFormat/>
    <w:uiPriority w:val="0"/>
    <w:rPr>
      <w:rFonts w:ascii="宋体" w:hAnsi="宋体" w:eastAsia="宋体" w:cs="宋体"/>
      <w:sz w:val="24"/>
      <w:szCs w:val="24"/>
    </w:rPr>
  </w:style>
  <w:style w:type="paragraph" w:customStyle="1" w:styleId="37">
    <w:name w:val="修订2"/>
    <w:hidden/>
    <w:unhideWhenUsed/>
    <w:qFormat/>
    <w:uiPriority w:val="99"/>
    <w:rPr>
      <w:rFonts w:ascii="Times New Roman" w:hAnsi="Times New Roman" w:eastAsia="Times New Roman" w:cstheme="minorBidi"/>
      <w:bCs/>
      <w:kern w:val="44"/>
      <w:sz w:val="24"/>
      <w:szCs w:val="24"/>
      <w:lang w:val="en-US" w:eastAsia="zh-CN" w:bidi="ar-SA"/>
    </w:rPr>
  </w:style>
  <w:style w:type="character" w:customStyle="1" w:styleId="38">
    <w:name w:val="页眉 字符"/>
    <w:basedOn w:val="26"/>
    <w:link w:val="14"/>
    <w:qFormat/>
    <w:uiPriority w:val="0"/>
    <w:rPr>
      <w:rFonts w:eastAsia="Times New Roman" w:cstheme="minorBidi"/>
      <w:bCs/>
      <w:kern w:val="44"/>
      <w:sz w:val="18"/>
      <w:szCs w:val="18"/>
    </w:rPr>
  </w:style>
  <w:style w:type="character" w:customStyle="1" w:styleId="39">
    <w:name w:val="页脚 字符"/>
    <w:basedOn w:val="26"/>
    <w:link w:val="13"/>
    <w:qFormat/>
    <w:uiPriority w:val="99"/>
    <w:rPr>
      <w:rFonts w:eastAsia="Times New Roman" w:cstheme="minorBidi"/>
      <w:bCs/>
      <w:kern w:val="44"/>
      <w:sz w:val="18"/>
      <w:szCs w:val="18"/>
    </w:rPr>
  </w:style>
  <w:style w:type="character" w:customStyle="1" w:styleId="40">
    <w:name w:val="未处理的提及1"/>
    <w:basedOn w:val="26"/>
    <w:semiHidden/>
    <w:unhideWhenUsed/>
    <w:qFormat/>
    <w:uiPriority w:val="99"/>
    <w:rPr>
      <w:color w:val="605E5C"/>
      <w:shd w:val="clear" w:color="auto" w:fill="E1DFDD"/>
    </w:rPr>
  </w:style>
  <w:style w:type="character" w:customStyle="1" w:styleId="41">
    <w:name w:val="标题 4 字符"/>
    <w:basedOn w:val="26"/>
    <w:link w:val="5"/>
    <w:qFormat/>
    <w:uiPriority w:val="0"/>
    <w:rPr>
      <w:rFonts w:eastAsia="Times New Roman"/>
      <w:b/>
      <w:bCs/>
      <w:kern w:val="44"/>
      <w:sz w:val="28"/>
      <w:szCs w:val="28"/>
    </w:rPr>
  </w:style>
  <w:style w:type="paragraph" w:customStyle="1" w:styleId="42">
    <w:name w:val="修订3"/>
    <w:hidden/>
    <w:unhideWhenUsed/>
    <w:qFormat/>
    <w:uiPriority w:val="99"/>
    <w:rPr>
      <w:rFonts w:ascii="Times New Roman" w:hAnsi="Times New Roman" w:eastAsia="Times New Roman" w:cstheme="minorBidi"/>
      <w:bCs/>
      <w:kern w:val="44"/>
      <w:sz w:val="24"/>
      <w:szCs w:val="24"/>
      <w:lang w:val="en-US" w:eastAsia="zh-CN" w:bidi="ar-SA"/>
    </w:rPr>
  </w:style>
  <w:style w:type="paragraph" w:customStyle="1" w:styleId="43">
    <w:name w:val="题注Notes"/>
    <w:basedOn w:val="7"/>
    <w:link w:val="45"/>
    <w:autoRedefine/>
    <w:qFormat/>
    <w:uiPriority w:val="0"/>
    <w:pPr>
      <w:jc w:val="left"/>
    </w:pPr>
    <w:rPr>
      <w:i/>
      <w:iCs/>
    </w:rPr>
  </w:style>
  <w:style w:type="character" w:customStyle="1" w:styleId="44">
    <w:name w:val="题注 字符"/>
    <w:basedOn w:val="26"/>
    <w:link w:val="7"/>
    <w:qFormat/>
    <w:uiPriority w:val="0"/>
    <w:rPr>
      <w:rFonts w:eastAsia="Times New Roman"/>
      <w:bCs/>
      <w:kern w:val="44"/>
    </w:rPr>
  </w:style>
  <w:style w:type="character" w:customStyle="1" w:styleId="45">
    <w:name w:val="题注Notes 字符"/>
    <w:basedOn w:val="44"/>
    <w:link w:val="43"/>
    <w:qFormat/>
    <w:uiPriority w:val="0"/>
    <w:rPr>
      <w:rFonts w:eastAsia="Times New Roman"/>
      <w:i/>
      <w:iCs/>
      <w:kern w:val="44"/>
    </w:rPr>
  </w:style>
  <w:style w:type="paragraph" w:customStyle="1" w:styleId="46">
    <w:name w:val="Reference"/>
    <w:basedOn w:val="1"/>
    <w:next w:val="1"/>
    <w:qFormat/>
    <w:uiPriority w:val="0"/>
    <w:pPr>
      <w:jc w:val="center"/>
      <w:outlineLvl w:val="0"/>
    </w:pPr>
    <w:rPr>
      <w:b/>
    </w:rPr>
  </w:style>
  <w:style w:type="character" w:customStyle="1" w:styleId="47">
    <w:name w:val="Unresolved Mention1"/>
    <w:basedOn w:val="26"/>
    <w:semiHidden/>
    <w:unhideWhenUsed/>
    <w:qFormat/>
    <w:uiPriority w:val="99"/>
    <w:rPr>
      <w:color w:val="605E5C"/>
      <w:shd w:val="clear" w:color="auto" w:fill="E1DFDD"/>
    </w:rPr>
  </w:style>
  <w:style w:type="paragraph" w:customStyle="1" w:styleId="48">
    <w:name w:val="APPENDIX"/>
    <w:basedOn w:val="1"/>
    <w:next w:val="1"/>
    <w:link w:val="49"/>
    <w:qFormat/>
    <w:uiPriority w:val="0"/>
    <w:pPr>
      <w:jc w:val="center"/>
      <w:outlineLvl w:val="0"/>
    </w:pPr>
    <w:rPr>
      <w:rFonts w:cs="Times New Roman"/>
      <w:b/>
      <w:bCs w:val="0"/>
      <w:spacing w:val="-2"/>
    </w:rPr>
  </w:style>
  <w:style w:type="character" w:customStyle="1" w:styleId="49">
    <w:name w:val="APPENDIX 字符"/>
    <w:basedOn w:val="26"/>
    <w:link w:val="48"/>
    <w:qFormat/>
    <w:uiPriority w:val="0"/>
    <w:rPr>
      <w:rFonts w:eastAsia="Times New Roman"/>
      <w:b/>
      <w:spacing w:val="-2"/>
      <w:kern w:val="44"/>
      <w:sz w:val="24"/>
      <w:szCs w:val="24"/>
    </w:rPr>
  </w:style>
  <w:style w:type="paragraph" w:customStyle="1" w:styleId="50">
    <w:name w:val="一级目录"/>
    <w:basedOn w:val="2"/>
    <w:link w:val="52"/>
    <w:qFormat/>
    <w:uiPriority w:val="0"/>
    <w:pPr>
      <w:spacing w:after="0"/>
    </w:pPr>
  </w:style>
  <w:style w:type="character" w:customStyle="1" w:styleId="51">
    <w:name w:val="标题 1 字符"/>
    <w:basedOn w:val="26"/>
    <w:link w:val="2"/>
    <w:qFormat/>
    <w:uiPriority w:val="0"/>
    <w:rPr>
      <w:rFonts w:eastAsia="Times New Roman"/>
      <w:b/>
      <w:bCs/>
      <w:kern w:val="44"/>
      <w:sz w:val="24"/>
      <w:szCs w:val="24"/>
    </w:rPr>
  </w:style>
  <w:style w:type="character" w:customStyle="1" w:styleId="52">
    <w:name w:val="一级目录 字符"/>
    <w:basedOn w:val="51"/>
    <w:link w:val="50"/>
    <w:qFormat/>
    <w:uiPriority w:val="0"/>
    <w:rPr>
      <w:rFonts w:eastAsia="Times New Roman"/>
      <w:kern w:val="44"/>
      <w:sz w:val="24"/>
      <w:szCs w:val="24"/>
    </w:rPr>
  </w:style>
  <w:style w:type="paragraph" w:customStyle="1" w:styleId="53">
    <w:name w:val="隐藏的CHAPTER"/>
    <w:basedOn w:val="1"/>
    <w:link w:val="54"/>
    <w:qFormat/>
    <w:uiPriority w:val="0"/>
    <w:pPr>
      <w:spacing w:line="240" w:lineRule="auto"/>
      <w:jc w:val="left"/>
      <w:outlineLvl w:val="0"/>
    </w:pPr>
    <w:rPr>
      <w:rFonts w:cs="Times New Roman"/>
      <w:b/>
      <w:sz w:val="28"/>
      <w:szCs w:val="28"/>
    </w:rPr>
  </w:style>
  <w:style w:type="character" w:customStyle="1" w:styleId="54">
    <w:name w:val="隐藏的CHAPTER 字符"/>
    <w:basedOn w:val="26"/>
    <w:link w:val="53"/>
    <w:qFormat/>
    <w:uiPriority w:val="0"/>
    <w:rPr>
      <w:rFonts w:eastAsia="Times New Roman"/>
      <w:b/>
      <w:bCs/>
      <w:kern w:val="44"/>
      <w:sz w:val="28"/>
      <w:szCs w:val="28"/>
    </w:rPr>
  </w:style>
  <w:style w:type="paragraph" w:customStyle="1" w:styleId="55">
    <w:name w:val="目录一级"/>
    <w:basedOn w:val="53"/>
    <w:link w:val="56"/>
    <w:qFormat/>
    <w:uiPriority w:val="0"/>
    <w:rPr>
      <w:rFonts w:eastAsiaTheme="minorEastAsia"/>
    </w:rPr>
  </w:style>
  <w:style w:type="character" w:customStyle="1" w:styleId="56">
    <w:name w:val="目录一级 字符"/>
    <w:basedOn w:val="54"/>
    <w:link w:val="55"/>
    <w:qFormat/>
    <w:uiPriority w:val="0"/>
    <w:rPr>
      <w:rFonts w:eastAsiaTheme="minorEastAsia"/>
      <w:kern w:val="44"/>
      <w:sz w:val="28"/>
      <w:szCs w:val="28"/>
    </w:rPr>
  </w:style>
  <w:style w:type="paragraph" w:customStyle="1" w:styleId="57">
    <w:name w:val="Chapter Subtitle"/>
    <w:basedOn w:val="2"/>
    <w:link w:val="58"/>
    <w:qFormat/>
    <w:uiPriority w:val="0"/>
    <w:pPr>
      <w:spacing w:before="150" w:after="150"/>
      <w:outlineLvl w:val="9"/>
    </w:pPr>
    <w:rPr>
      <w:szCs w:val="28"/>
    </w:rPr>
  </w:style>
  <w:style w:type="character" w:customStyle="1" w:styleId="58">
    <w:name w:val="Chapter Subtitle 字符"/>
    <w:basedOn w:val="51"/>
    <w:link w:val="57"/>
    <w:qFormat/>
    <w:uiPriority w:val="0"/>
    <w:rPr>
      <w:rFonts w:eastAsia="Times New Roman"/>
      <w:kern w:val="44"/>
      <w:sz w:val="28"/>
      <w:szCs w:val="28"/>
    </w:rPr>
  </w:style>
  <w:style w:type="paragraph" w:customStyle="1" w:styleId="59">
    <w:name w:val="目录introduction"/>
    <w:basedOn w:val="57"/>
    <w:link w:val="60"/>
    <w:qFormat/>
    <w:uiPriority w:val="0"/>
    <w:pPr>
      <w:numPr>
        <w:ilvl w:val="0"/>
        <w:numId w:val="1"/>
      </w:numPr>
      <w:contextualSpacing/>
      <w:outlineLvl w:val="0"/>
    </w:pPr>
  </w:style>
  <w:style w:type="character" w:customStyle="1" w:styleId="60">
    <w:name w:val="目录introduction 字符"/>
    <w:basedOn w:val="58"/>
    <w:link w:val="59"/>
    <w:qFormat/>
    <w:uiPriority w:val="0"/>
    <w:rPr>
      <w:rFonts w:eastAsia="Times New Roman"/>
      <w:kern w:val="44"/>
      <w:sz w:val="24"/>
      <w:szCs w:val="28"/>
    </w:rPr>
  </w:style>
  <w:style w:type="paragraph" w:customStyle="1" w:styleId="61">
    <w:name w:val="修订4"/>
    <w:hidden/>
    <w:semiHidden/>
    <w:qFormat/>
    <w:uiPriority w:val="99"/>
    <w:rPr>
      <w:rFonts w:ascii="Times New Roman" w:hAnsi="Times New Roman" w:eastAsia="Times New Roman" w:cstheme="minorBidi"/>
      <w:bCs/>
      <w:kern w:val="44"/>
      <w:sz w:val="24"/>
      <w:szCs w:val="24"/>
      <w:lang w:val="en-US" w:eastAsia="zh-CN" w:bidi="ar-SA"/>
    </w:rPr>
  </w:style>
  <w:style w:type="character" w:customStyle="1" w:styleId="62">
    <w:name w:val="HTML 预设格式 字符"/>
    <w:basedOn w:val="26"/>
    <w:link w:val="21"/>
    <w:qFormat/>
    <w:uiPriority w:val="0"/>
    <w:rPr>
      <w:rFonts w:ascii="Courier New" w:hAnsi="Courier New" w:eastAsia="Times New Roman" w:cs="Courier New"/>
      <w:bCs/>
      <w:kern w:val="44"/>
    </w:rPr>
  </w:style>
  <w:style w:type="paragraph" w:customStyle="1" w:styleId="63">
    <w:name w:val="修订5"/>
    <w:hidden/>
    <w:semiHidden/>
    <w:qFormat/>
    <w:uiPriority w:val="99"/>
    <w:rPr>
      <w:rFonts w:ascii="Times New Roman" w:hAnsi="Times New Roman" w:eastAsia="Times New Roman" w:cstheme="minorBidi"/>
      <w:bCs/>
      <w:kern w:val="44"/>
      <w:sz w:val="24"/>
      <w:szCs w:val="24"/>
      <w:lang w:val="en-US" w:eastAsia="zh-CN" w:bidi="ar-SA"/>
    </w:rPr>
  </w:style>
  <w:style w:type="character" w:customStyle="1" w:styleId="64">
    <w:name w:val="未处理的提及2"/>
    <w:basedOn w:val="26"/>
    <w:semiHidden/>
    <w:unhideWhenUsed/>
    <w:uiPriority w:val="99"/>
    <w:rPr>
      <w:color w:val="605E5C"/>
      <w:shd w:val="clear" w:color="auto" w:fill="E1DFDD"/>
    </w:rPr>
  </w:style>
  <w:style w:type="table" w:customStyle="1" w:styleId="65">
    <w:name w:val="三线表"/>
    <w:basedOn w:val="24"/>
    <w:uiPriority w:val="99"/>
    <w:rPr>
      <w:rFonts w:asciiTheme="minorHAnsi" w:hAnsiTheme="minorHAnsi" w:eastAsiaTheme="minorEastAsia" w:cstheme="minorBidi"/>
      <w:kern w:val="2"/>
      <w:sz w:val="21"/>
      <w:szCs w:val="22"/>
      <w14:ligatures w14:val="standardContextual"/>
    </w:rPr>
    <w:tblPr>
      <w:tblBorders>
        <w:top w:val="single" w:color="auto" w:sz="8" w:space="0"/>
        <w:bottom w:val="single" w:color="auto" w:sz="8" w:space="0"/>
      </w:tblBorders>
    </w:tblPr>
    <w:tblStylePr w:type="firstRow">
      <w:tcPr>
        <w:tcBorders>
          <w:bottom w:val="single" w:color="auto" w:sz="6" w:space="0"/>
        </w:tcBorders>
      </w:tcPr>
    </w:tblStylePr>
  </w:style>
  <w:style w:type="paragraph" w:styleId="66">
    <w:name w:val="Intense Quote"/>
    <w:basedOn w:val="1"/>
    <w:next w:val="1"/>
    <w:link w:val="67"/>
    <w:qFormat/>
    <w:uiPriority w:val="30"/>
    <w:pPr>
      <w:pBdr>
        <w:top w:val="single" w:color="2D54A0" w:themeColor="accent1" w:themeShade="BF" w:sz="4" w:space="10"/>
        <w:bottom w:val="single" w:color="2D54A0" w:themeColor="accent1" w:themeShade="BF" w:sz="4" w:space="10"/>
      </w:pBdr>
      <w:spacing w:before="360" w:after="360" w:line="240" w:lineRule="auto"/>
      <w:ind w:left="864" w:right="864"/>
      <w:jc w:val="center"/>
    </w:pPr>
    <w:rPr>
      <w:rFonts w:ascii="Calibri" w:hAnsi="Calibri" w:eastAsia="宋体" w:cs="Times New Roman"/>
      <w:bCs w:val="0"/>
      <w:i/>
      <w:iCs/>
      <w:color w:val="2E54A1" w:themeColor="accent1" w:themeShade="BF"/>
      <w:kern w:val="2"/>
      <w:sz w:val="21"/>
      <w:szCs w:val="21"/>
    </w:rPr>
  </w:style>
  <w:style w:type="character" w:customStyle="1" w:styleId="67">
    <w:name w:val="明显引用 字符"/>
    <w:basedOn w:val="26"/>
    <w:link w:val="66"/>
    <w:uiPriority w:val="30"/>
    <w:rPr>
      <w:rFonts w:ascii="Calibri" w:hAnsi="Calibri"/>
      <w:i/>
      <w:iCs/>
      <w:color w:val="2E54A1" w:themeColor="accent1" w:themeShade="BF"/>
      <w:kern w:val="2"/>
      <w:sz w:val="21"/>
      <w:szCs w:val="21"/>
    </w:rPr>
  </w:style>
  <w:style w:type="table" w:customStyle="1" w:styleId="68">
    <w:name w:val="无格式表格 51"/>
    <w:basedOn w:val="24"/>
    <w:uiPriority w:val="45"/>
    <w:rPr>
      <w:rFonts w:asciiTheme="minorHAnsi" w:hAnsiTheme="minorHAnsi" w:eastAsiaTheme="minorEastAsia" w:cstheme="minorBidi"/>
      <w:kern w:val="2"/>
      <w:sz w:val="22"/>
      <w:szCs w:val="24"/>
      <w14:ligatures w14:val="standardContextual"/>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customStyle="1" w:styleId="69">
    <w:name w:val="无间隔1"/>
    <w:basedOn w:val="1"/>
    <w:uiPriority w:val="0"/>
    <w:pPr>
      <w:widowControl/>
      <w:spacing w:before="100" w:beforeAutospacing="1" w:line="240" w:lineRule="auto"/>
    </w:pPr>
    <w:rPr>
      <w:rFonts w:ascii="Calibri" w:hAnsi="Calibri" w:eastAsia="宋体" w:cs="Times New Roman"/>
      <w:bCs w:val="0"/>
      <w:kern w:val="2"/>
      <w:sz w:val="21"/>
      <w:szCs w:val="21"/>
    </w:rPr>
  </w:style>
  <w:style w:type="character" w:customStyle="1" w:styleId="70">
    <w:name w:val="未处理的提及3"/>
    <w:basedOn w:val="26"/>
    <w:semiHidden/>
    <w:unhideWhenUsed/>
    <w:uiPriority w:val="99"/>
    <w:rPr>
      <w:color w:val="605E5C"/>
      <w:shd w:val="clear" w:color="auto" w:fill="E1DFDD"/>
    </w:rPr>
  </w:style>
  <w:style w:type="table" w:customStyle="1" w:styleId="71">
    <w:name w:val="网格型1"/>
    <w:basedOn w:val="24"/>
    <w:uiPriority w:val="99"/>
    <w:rPr>
      <w:rFonts w:asciiTheme="minorHAnsi" w:hAnsiTheme="minorHAnsi" w:eastAsiaTheme="minorEastAsia" w:cstheme="minorBidi"/>
      <w:kern w:val="2"/>
      <w:sz w:val="22"/>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2">
    <w:name w:val="修订6"/>
    <w:hidden/>
    <w:unhideWhenUsed/>
    <w:uiPriority w:val="99"/>
    <w:rPr>
      <w:rFonts w:ascii="Times New Roman" w:hAnsi="Times New Roman" w:eastAsia="Times New Roman" w:cstheme="minorBidi"/>
      <w:bCs/>
      <w:kern w:val="44"/>
      <w:sz w:val="24"/>
      <w:szCs w:val="24"/>
      <w:lang w:val="en-US" w:eastAsia="zh-CN" w:bidi="ar-SA"/>
    </w:rPr>
  </w:style>
  <w:style w:type="character" w:customStyle="1" w:styleId="73">
    <w:name w:val="Unresolved Mention"/>
    <w:basedOn w:val="26"/>
    <w:semiHidden/>
    <w:unhideWhenUsed/>
    <w:uiPriority w:val="99"/>
    <w:rPr>
      <w:color w:val="605E5C"/>
      <w:shd w:val="clear" w:color="auto" w:fill="E1DFDD"/>
    </w:rPr>
  </w:style>
  <w:style w:type="character" w:styleId="74">
    <w:name w:val="Placeholder Text"/>
    <w:basedOn w:val="26"/>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27F80F-2CF7-45A1-9ABF-C14CEAE910BF}">
  <ds:schemaRefs/>
</ds:datastoreItem>
</file>

<file path=docProps/app.xml><?xml version="1.0" encoding="utf-8"?>
<Properties xmlns="http://schemas.openxmlformats.org/officeDocument/2006/extended-properties" xmlns:vt="http://schemas.openxmlformats.org/officeDocument/2006/docPropsVTypes">
  <Template>Normal.dotm</Template>
  <Pages>45</Pages>
  <Words>31708</Words>
  <Characters>196275</Characters>
  <Lines>1</Lines>
  <Paragraphs>1</Paragraphs>
  <TotalTime>120</TotalTime>
  <ScaleCrop>false</ScaleCrop>
  <LinksUpToDate>false</LinksUpToDate>
  <CharactersWithSpaces>225892</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2025-12-20T13:49:00Z</dcterms:created>
  <dc:creator>12277</dc:creator>
  <cp:lastModifiedBy>：</cp:lastModifiedBy>
  <cp:lastPrinted>2025-12-20T13:49:00Z</cp:lastPrinted>
  <dcterms:modified xsi:type="dcterms:W3CDTF">2026-04-02T14:53:27Z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8DF888DEF4E20FCF1CEEA7695E3568ED_43</vt:lpwstr>
  </property>
  <property fmtid="{D5CDD505-2E9C-101B-9397-08002B2CF9AE}" pid="4" name="KSOTemplateDocerSaveRecord">
    <vt:lpwstr>eyJoZGlkIjoiM2ZkODM1Zjc4NTZmZGU4ZThjMjAxNTAzY2UxOWIyMzgiLCJ1c2VySWQiOiI4MDAzMDUxNTQifQ==</vt:lpwstr>
  </property>
</Properties>
</file>